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6FF" w:rsidRDefault="00D516FF">
      <w:pPr>
        <w:jc w:val="center"/>
        <w:rPr>
          <w:b/>
          <w:sz w:val="40"/>
          <w:szCs w:val="40"/>
        </w:rPr>
      </w:pPr>
    </w:p>
    <w:p w:rsidR="00D516FF" w:rsidRDefault="00D516FF">
      <w:pPr>
        <w:jc w:val="center"/>
        <w:rPr>
          <w:b/>
          <w:sz w:val="40"/>
          <w:szCs w:val="40"/>
        </w:rPr>
      </w:pPr>
    </w:p>
    <w:p w:rsidR="00D516FF" w:rsidRDefault="00D516FF">
      <w:pPr>
        <w:jc w:val="center"/>
        <w:rPr>
          <w:b/>
          <w:sz w:val="40"/>
          <w:szCs w:val="40"/>
        </w:rPr>
      </w:pPr>
    </w:p>
    <w:p w:rsidR="00D516FF" w:rsidRDefault="00D516FF">
      <w:pPr>
        <w:jc w:val="center"/>
        <w:rPr>
          <w:b/>
          <w:sz w:val="40"/>
          <w:szCs w:val="40"/>
        </w:rPr>
      </w:pPr>
    </w:p>
    <w:p w:rsidR="0010706C" w:rsidRPr="00D516FF" w:rsidRDefault="00842A54">
      <w:pPr>
        <w:jc w:val="center"/>
        <w:rPr>
          <w:b/>
          <w:sz w:val="40"/>
          <w:szCs w:val="40"/>
        </w:rPr>
      </w:pPr>
      <w:r w:rsidRPr="00D516FF">
        <w:rPr>
          <w:b/>
          <w:sz w:val="40"/>
          <w:szCs w:val="40"/>
        </w:rPr>
        <w:t>APPENDIX TP</w:t>
      </w:r>
    </w:p>
    <w:p w:rsidR="0010706C" w:rsidRPr="00D516FF" w:rsidRDefault="0010706C">
      <w:pPr>
        <w:jc w:val="center"/>
      </w:pPr>
    </w:p>
    <w:p w:rsidR="0010706C" w:rsidRPr="00D516FF" w:rsidRDefault="0010706C">
      <w:pPr>
        <w:jc w:val="center"/>
      </w:pPr>
    </w:p>
    <w:p w:rsidR="0010706C" w:rsidRPr="00D516FF" w:rsidRDefault="0010706C">
      <w:pPr>
        <w:jc w:val="center"/>
      </w:pPr>
    </w:p>
    <w:p w:rsidR="0010706C" w:rsidRPr="00D516FF" w:rsidRDefault="0010706C">
      <w:pPr>
        <w:jc w:val="center"/>
      </w:pPr>
    </w:p>
    <w:p w:rsidR="0010706C" w:rsidRPr="00D516FF" w:rsidRDefault="0010706C">
      <w:pPr>
        <w:jc w:val="center"/>
      </w:pPr>
    </w:p>
    <w:p w:rsidR="0010706C" w:rsidRPr="00D516FF" w:rsidRDefault="00775FA0">
      <w:pPr>
        <w:jc w:val="center"/>
        <w:rPr>
          <w:sz w:val="28"/>
          <w:szCs w:val="28"/>
        </w:rPr>
      </w:pPr>
      <w:r w:rsidRPr="00D516FF">
        <w:rPr>
          <w:sz w:val="28"/>
          <w:szCs w:val="28"/>
        </w:rPr>
        <w:t>DEMONSTRATION OF COMPLIANCE –</w:t>
      </w:r>
      <w:r w:rsidR="00CD6D60" w:rsidRPr="00D516FF">
        <w:rPr>
          <w:sz w:val="28"/>
          <w:szCs w:val="28"/>
        </w:rPr>
        <w:t xml:space="preserve"> </w:t>
      </w:r>
      <w:r w:rsidRPr="00D516FF">
        <w:rPr>
          <w:sz w:val="28"/>
          <w:szCs w:val="28"/>
        </w:rPr>
        <w:t>PM, SO</w:t>
      </w:r>
      <w:r w:rsidRPr="00D516FF">
        <w:rPr>
          <w:sz w:val="28"/>
          <w:szCs w:val="28"/>
          <w:vertAlign w:val="subscript"/>
        </w:rPr>
        <w:t>2</w:t>
      </w:r>
      <w:r w:rsidRPr="00D516FF">
        <w:rPr>
          <w:sz w:val="28"/>
          <w:szCs w:val="28"/>
        </w:rPr>
        <w:t xml:space="preserve"> and NO</w:t>
      </w:r>
      <w:r w:rsidRPr="00D516FF">
        <w:rPr>
          <w:sz w:val="28"/>
          <w:szCs w:val="28"/>
          <w:vertAlign w:val="subscript"/>
        </w:rPr>
        <w:t xml:space="preserve">x </w:t>
      </w:r>
      <w:r w:rsidRPr="00D516FF">
        <w:rPr>
          <w:sz w:val="28"/>
          <w:szCs w:val="28"/>
        </w:rPr>
        <w:t>EMISSIONS</w:t>
      </w:r>
    </w:p>
    <w:p w:rsidR="0010706C" w:rsidRPr="00D516FF" w:rsidRDefault="0010706C">
      <w:pPr>
        <w:jc w:val="center"/>
        <w:rPr>
          <w:sz w:val="28"/>
          <w:szCs w:val="28"/>
        </w:rPr>
      </w:pPr>
    </w:p>
    <w:p w:rsidR="0010706C" w:rsidRPr="00D516FF" w:rsidRDefault="0010706C">
      <w:pPr>
        <w:jc w:val="center"/>
        <w:rPr>
          <w:sz w:val="28"/>
          <w:szCs w:val="28"/>
        </w:rPr>
      </w:pPr>
    </w:p>
    <w:p w:rsidR="0010706C" w:rsidRPr="00D516FF" w:rsidRDefault="00775FA0">
      <w:pPr>
        <w:jc w:val="center"/>
        <w:rPr>
          <w:b/>
          <w:sz w:val="28"/>
          <w:szCs w:val="28"/>
        </w:rPr>
      </w:pPr>
      <w:r w:rsidRPr="00D516FF">
        <w:rPr>
          <w:b/>
          <w:sz w:val="28"/>
          <w:szCs w:val="28"/>
        </w:rPr>
        <w:t>TEST PLAN</w:t>
      </w:r>
    </w:p>
    <w:p w:rsidR="0010706C" w:rsidRPr="00D516FF" w:rsidRDefault="0010706C">
      <w:pPr>
        <w:jc w:val="center"/>
        <w:rPr>
          <w:b/>
        </w:rPr>
      </w:pPr>
    </w:p>
    <w:p w:rsidR="0010706C" w:rsidRPr="00D516FF" w:rsidRDefault="00775FA0">
      <w:pPr>
        <w:jc w:val="center"/>
      </w:pPr>
      <w:r w:rsidRPr="00D516FF">
        <w:t>No. 3</w:t>
      </w:r>
      <w:r w:rsidR="00CD6D60" w:rsidRPr="00D516FF">
        <w:t xml:space="preserve"> </w:t>
      </w:r>
      <w:r w:rsidRPr="00D516FF">
        <w:t>&amp;</w:t>
      </w:r>
      <w:r w:rsidR="00CD6D60" w:rsidRPr="00D516FF">
        <w:t xml:space="preserve"> </w:t>
      </w:r>
      <w:r w:rsidRPr="00D516FF">
        <w:t>4 Glass Melting Furnace</w:t>
      </w:r>
      <w:r w:rsidR="0095659E" w:rsidRPr="00D516FF">
        <w:t>s</w:t>
      </w:r>
    </w:p>
    <w:p w:rsidR="0010706C" w:rsidRPr="00D516FF" w:rsidRDefault="0010706C">
      <w:pPr>
        <w:jc w:val="center"/>
      </w:pPr>
    </w:p>
    <w:p w:rsidR="0010706C" w:rsidRPr="00D516FF" w:rsidRDefault="0010706C">
      <w:pPr>
        <w:jc w:val="center"/>
      </w:pPr>
    </w:p>
    <w:p w:rsidR="0010706C" w:rsidRPr="00D516FF" w:rsidRDefault="00775FA0">
      <w:pPr>
        <w:jc w:val="center"/>
        <w:rPr>
          <w:sz w:val="36"/>
          <w:szCs w:val="36"/>
        </w:rPr>
      </w:pPr>
      <w:r w:rsidRPr="00D516FF">
        <w:rPr>
          <w:b/>
          <w:sz w:val="36"/>
          <w:szCs w:val="36"/>
        </w:rPr>
        <w:t>Ardagh Glass</w:t>
      </w:r>
      <w:r w:rsidR="00F05691" w:rsidRPr="00D516FF">
        <w:rPr>
          <w:b/>
          <w:sz w:val="36"/>
          <w:szCs w:val="36"/>
        </w:rPr>
        <w:t>,</w:t>
      </w:r>
      <w:r w:rsidRPr="00D516FF">
        <w:rPr>
          <w:b/>
          <w:sz w:val="36"/>
          <w:szCs w:val="36"/>
        </w:rPr>
        <w:t xml:space="preserve"> Inc. </w:t>
      </w:r>
    </w:p>
    <w:p w:rsidR="0010706C" w:rsidRPr="00D516FF" w:rsidRDefault="00775FA0">
      <w:pPr>
        <w:jc w:val="center"/>
      </w:pPr>
      <w:r w:rsidRPr="00D516FF">
        <w:t>Jacksonville, FL</w:t>
      </w:r>
    </w:p>
    <w:p w:rsidR="0010706C" w:rsidRPr="00D516FF" w:rsidRDefault="0010706C">
      <w:pPr>
        <w:jc w:val="center"/>
      </w:pPr>
    </w:p>
    <w:p w:rsidR="0010706C" w:rsidRPr="00D516FF" w:rsidRDefault="0010706C">
      <w:pPr>
        <w:jc w:val="center"/>
      </w:pPr>
    </w:p>
    <w:p w:rsidR="0010706C" w:rsidRPr="00D516FF" w:rsidRDefault="0010706C">
      <w:pPr>
        <w:jc w:val="center"/>
      </w:pPr>
    </w:p>
    <w:p w:rsidR="0010706C" w:rsidRPr="00D516FF" w:rsidRDefault="00775FA0">
      <w:pPr>
        <w:jc w:val="center"/>
      </w:pPr>
      <w:r w:rsidRPr="00D516FF">
        <w:rPr>
          <w:b/>
        </w:rPr>
        <w:t>Permit No. 0310005-0</w:t>
      </w:r>
      <w:r w:rsidR="00FE6F06" w:rsidRPr="00D516FF">
        <w:rPr>
          <w:b/>
        </w:rPr>
        <w:t>06</w:t>
      </w:r>
      <w:r w:rsidRPr="00D516FF">
        <w:t>-AV</w:t>
      </w:r>
      <w:r w:rsidR="006C4075" w:rsidRPr="00D516FF">
        <w:t xml:space="preserve"> and</w:t>
      </w:r>
    </w:p>
    <w:p w:rsidR="006C4075" w:rsidRPr="00D516FF" w:rsidRDefault="006C4075">
      <w:pPr>
        <w:jc w:val="center"/>
      </w:pPr>
      <w:r w:rsidRPr="00D516FF">
        <w:t>Permit No. 0310005-012-AC</w:t>
      </w:r>
    </w:p>
    <w:p w:rsidR="0010706C" w:rsidRPr="00D516FF" w:rsidRDefault="0010706C">
      <w:pPr>
        <w:jc w:val="center"/>
      </w:pPr>
    </w:p>
    <w:p w:rsidR="0010706C" w:rsidRPr="00D516FF" w:rsidRDefault="0010706C">
      <w:pPr>
        <w:jc w:val="center"/>
      </w:pPr>
    </w:p>
    <w:p w:rsidR="0010706C" w:rsidRPr="00D516FF" w:rsidRDefault="0010706C">
      <w:pPr>
        <w:jc w:val="center"/>
      </w:pPr>
    </w:p>
    <w:p w:rsidR="0010706C" w:rsidRPr="00D516FF" w:rsidRDefault="0010706C">
      <w:pPr>
        <w:jc w:val="center"/>
      </w:pPr>
    </w:p>
    <w:p w:rsidR="0010706C" w:rsidRDefault="00A7653E">
      <w:pPr>
        <w:jc w:val="center"/>
      </w:pPr>
      <w:r w:rsidRPr="00D516FF">
        <w:t>January 17</w:t>
      </w:r>
      <w:r w:rsidR="00775FA0" w:rsidRPr="00D516FF">
        <w:t>, 201</w:t>
      </w:r>
      <w:r w:rsidR="003D3D66" w:rsidRPr="00D516FF">
        <w:t>3</w:t>
      </w:r>
    </w:p>
    <w:p w:rsidR="00D950A3" w:rsidRDefault="00D950A3">
      <w:pPr>
        <w:jc w:val="center"/>
      </w:pPr>
    </w:p>
    <w:p w:rsidR="00D950A3" w:rsidRPr="00D516FF" w:rsidRDefault="00D950A3">
      <w:pPr>
        <w:jc w:val="center"/>
      </w:pPr>
      <w:r w:rsidRPr="00D950A3">
        <w:rPr>
          <w:highlight w:val="yellow"/>
        </w:rPr>
        <w:t>Note: Updated November 22, 2013 with new Compliance Authority.</w:t>
      </w:r>
    </w:p>
    <w:p w:rsidR="0010706C" w:rsidRPr="00D516FF" w:rsidRDefault="0010706C">
      <w:pPr>
        <w:jc w:val="center"/>
      </w:pPr>
    </w:p>
    <w:p w:rsidR="0010706C" w:rsidRPr="00D516FF" w:rsidRDefault="0010706C">
      <w:pPr>
        <w:jc w:val="center"/>
      </w:pPr>
    </w:p>
    <w:p w:rsidR="0010706C" w:rsidRPr="00D516FF" w:rsidRDefault="0010706C">
      <w:pPr>
        <w:jc w:val="center"/>
      </w:pPr>
    </w:p>
    <w:p w:rsidR="0010706C" w:rsidRPr="00D516FF" w:rsidRDefault="0010706C">
      <w:pPr>
        <w:tabs>
          <w:tab w:val="right" w:pos="9360"/>
        </w:tabs>
        <w:jc w:val="both"/>
        <w:rPr>
          <w:sz w:val="18"/>
        </w:rPr>
      </w:pPr>
    </w:p>
    <w:p w:rsidR="0010706C" w:rsidRPr="00D516FF" w:rsidRDefault="0010706C">
      <w:pPr>
        <w:tabs>
          <w:tab w:val="right" w:pos="9360"/>
        </w:tabs>
        <w:jc w:val="both"/>
        <w:rPr>
          <w:sz w:val="18"/>
        </w:rPr>
      </w:pPr>
    </w:p>
    <w:p w:rsidR="0010706C" w:rsidRPr="00D516FF" w:rsidRDefault="0010706C">
      <w:pPr>
        <w:tabs>
          <w:tab w:val="right" w:pos="9360"/>
        </w:tabs>
        <w:jc w:val="both"/>
        <w:rPr>
          <w:sz w:val="18"/>
        </w:rPr>
      </w:pPr>
    </w:p>
    <w:p w:rsidR="0010706C" w:rsidRPr="00D516FF" w:rsidRDefault="0010706C">
      <w:pPr>
        <w:tabs>
          <w:tab w:val="right" w:pos="9360"/>
        </w:tabs>
        <w:jc w:val="both"/>
        <w:rPr>
          <w:sz w:val="18"/>
        </w:rPr>
      </w:pPr>
    </w:p>
    <w:p w:rsidR="0010706C" w:rsidRPr="00D516FF" w:rsidRDefault="0010706C">
      <w:pPr>
        <w:tabs>
          <w:tab w:val="right" w:pos="9360"/>
        </w:tabs>
        <w:jc w:val="both"/>
        <w:rPr>
          <w:sz w:val="18"/>
        </w:rPr>
      </w:pPr>
    </w:p>
    <w:p w:rsidR="0010706C" w:rsidRPr="00D516FF" w:rsidRDefault="0010706C">
      <w:pPr>
        <w:tabs>
          <w:tab w:val="right" w:pos="9360"/>
        </w:tabs>
        <w:jc w:val="right"/>
        <w:rPr>
          <w:sz w:val="18"/>
        </w:rPr>
      </w:pPr>
    </w:p>
    <w:p w:rsidR="0010706C" w:rsidRPr="00D516FF" w:rsidRDefault="0010706C">
      <w:pPr>
        <w:tabs>
          <w:tab w:val="right" w:pos="9360"/>
        </w:tabs>
        <w:jc w:val="right"/>
        <w:rPr>
          <w:sz w:val="18"/>
        </w:rPr>
      </w:pPr>
    </w:p>
    <w:p w:rsidR="0010706C" w:rsidRPr="00D516FF" w:rsidRDefault="0010706C">
      <w:pPr>
        <w:tabs>
          <w:tab w:val="right" w:pos="9360"/>
        </w:tabs>
        <w:jc w:val="right"/>
        <w:rPr>
          <w:sz w:val="18"/>
        </w:rPr>
      </w:pPr>
    </w:p>
    <w:p w:rsidR="0010706C" w:rsidRPr="00D516FF" w:rsidRDefault="0010706C">
      <w:pPr>
        <w:tabs>
          <w:tab w:val="right" w:pos="9360"/>
        </w:tabs>
        <w:jc w:val="right"/>
        <w:rPr>
          <w:sz w:val="18"/>
        </w:rPr>
      </w:pPr>
    </w:p>
    <w:p w:rsidR="0010706C" w:rsidRPr="00D516FF" w:rsidRDefault="0010706C">
      <w:pPr>
        <w:tabs>
          <w:tab w:val="right" w:pos="9360"/>
        </w:tabs>
        <w:jc w:val="right"/>
        <w:rPr>
          <w:sz w:val="18"/>
        </w:rPr>
      </w:pPr>
    </w:p>
    <w:p w:rsidR="0010706C" w:rsidRPr="00D516FF" w:rsidRDefault="0010706C">
      <w:pPr>
        <w:tabs>
          <w:tab w:val="right" w:pos="9360"/>
        </w:tabs>
        <w:jc w:val="right"/>
        <w:rPr>
          <w:sz w:val="18"/>
        </w:rPr>
      </w:pPr>
    </w:p>
    <w:p w:rsidR="0010706C" w:rsidRPr="00D516FF" w:rsidRDefault="0010706C" w:rsidP="00693C77">
      <w:pPr>
        <w:tabs>
          <w:tab w:val="right" w:pos="9360"/>
        </w:tabs>
        <w:rPr>
          <w:sz w:val="18"/>
        </w:rPr>
        <w:sectPr w:rsidR="0010706C" w:rsidRPr="00D516FF">
          <w:footerReference w:type="even" r:id="rId7"/>
          <w:footerReference w:type="default" r:id="rId8"/>
          <w:footnotePr>
            <w:numFmt w:val="lowerLetter"/>
          </w:footnotePr>
          <w:endnotePr>
            <w:numFmt w:val="lowerLetter"/>
          </w:endnotePr>
          <w:pgSz w:w="12240" w:h="15840"/>
          <w:pgMar w:top="1440" w:right="1800" w:bottom="1440" w:left="1800" w:header="1440" w:footer="1440" w:gutter="0"/>
          <w:pgNumType w:start="1"/>
          <w:cols w:space="720"/>
          <w:titlePg/>
          <w:docGrid w:linePitch="326"/>
        </w:sectPr>
      </w:pPr>
    </w:p>
    <w:p w:rsidR="0010706C" w:rsidRPr="00D516FF" w:rsidRDefault="0010706C">
      <w:pPr>
        <w:rPr>
          <w:b/>
        </w:rPr>
        <w:sectPr w:rsidR="0010706C" w:rsidRPr="00D516FF">
          <w:headerReference w:type="even" r:id="rId9"/>
          <w:headerReference w:type="default" r:id="rId10"/>
          <w:footerReference w:type="even" r:id="rId11"/>
          <w:footerReference w:type="default" r:id="rId12"/>
          <w:footnotePr>
            <w:numFmt w:val="lowerLetter"/>
          </w:footnotePr>
          <w:endnotePr>
            <w:numFmt w:val="lowerLetter"/>
          </w:endnotePr>
          <w:type w:val="continuous"/>
          <w:pgSz w:w="12240" w:h="15840"/>
          <w:pgMar w:top="1440" w:right="1800" w:bottom="1440" w:left="1800" w:header="1440" w:footer="1440" w:gutter="0"/>
          <w:cols w:space="720"/>
        </w:sectPr>
      </w:pPr>
    </w:p>
    <w:p w:rsidR="0010706C" w:rsidRPr="00D516FF" w:rsidRDefault="00775FA0">
      <w:pPr>
        <w:pStyle w:val="Heading1"/>
        <w:rPr>
          <w:rFonts w:ascii="Times New Roman" w:hAnsi="Times New Roman" w:cs="Times New Roman"/>
        </w:rPr>
      </w:pPr>
      <w:bookmarkStart w:id="0" w:name="_Toc278364335"/>
      <w:r w:rsidRPr="00D516FF">
        <w:rPr>
          <w:rFonts w:ascii="Times New Roman" w:hAnsi="Times New Roman" w:cs="Times New Roman"/>
        </w:rPr>
        <w:lastRenderedPageBreak/>
        <w:t>1.0</w:t>
      </w:r>
      <w:r w:rsidRPr="00D516FF">
        <w:rPr>
          <w:rFonts w:ascii="Times New Roman" w:hAnsi="Times New Roman" w:cs="Times New Roman"/>
        </w:rPr>
        <w:tab/>
        <w:t>INTRODUCTION</w:t>
      </w:r>
      <w:bookmarkEnd w:id="0"/>
    </w:p>
    <w:p w:rsidR="0010706C" w:rsidRPr="00D516FF" w:rsidRDefault="00775FA0">
      <w:pPr>
        <w:spacing w:line="480" w:lineRule="auto"/>
        <w:jc w:val="both"/>
      </w:pPr>
      <w:r w:rsidRPr="00D516FF">
        <w:t xml:space="preserve">Ardagh Glass Inc. (“Ardagh”) operates a glass container manufacturing facility on 2121 Huron St., Duval County, Jacksonville, Florida.  The facility is permitted under the Permit No. 0310005-006-AV, revised effective </w:t>
      </w:r>
      <w:r w:rsidR="00D200C5" w:rsidRPr="00D516FF">
        <w:t>September 9, 2007.</w:t>
      </w:r>
      <w:r w:rsidRPr="00D516FF">
        <w:t xml:space="preserve">  </w:t>
      </w:r>
    </w:p>
    <w:p w:rsidR="00D516FF" w:rsidRDefault="00D516FF">
      <w:pPr>
        <w:spacing w:line="480" w:lineRule="auto"/>
        <w:jc w:val="both"/>
      </w:pPr>
    </w:p>
    <w:p w:rsidR="0010706C" w:rsidRPr="00D516FF" w:rsidRDefault="00775FA0">
      <w:pPr>
        <w:spacing w:line="480" w:lineRule="auto"/>
        <w:jc w:val="both"/>
      </w:pPr>
      <w:r w:rsidRPr="00D516FF">
        <w:t>The facility includes two glass melting furnaces.  The No. 3 Furnace (Emission Unit 003) is an end port regenerative glass melting furnace fired by natural gas or propane.  Additional heat may be obtained from an electric boost with a maximum heat input of 8.6 X 10</w:t>
      </w:r>
      <w:r w:rsidRPr="00D516FF">
        <w:rPr>
          <w:vertAlign w:val="superscript"/>
        </w:rPr>
        <w:t>6</w:t>
      </w:r>
      <w:r w:rsidRPr="00D516FF">
        <w:t xml:space="preserve"> Btu per hour.  The maximum process rate is 14.70 tons per hour and 128,772 tons per year of raw materials, cullet, and additives for glass production.  The maximum glass pull rate is 312.26 tons per day and 113,976.1 tons per year.  The No. 4 Furnace (Emission Unit 004) is an end port regenerative glass melting furnace fired by natural gas or propane.  Additional heat may be obtained from an electric boo</w:t>
      </w:r>
      <w:r w:rsidR="007E5A0A" w:rsidRPr="00D516FF">
        <w:t xml:space="preserve">st with a maximum heat input of </w:t>
      </w:r>
      <w:r w:rsidRPr="00D516FF">
        <w:t>7.0 X 10</w:t>
      </w:r>
      <w:r w:rsidRPr="00D516FF">
        <w:rPr>
          <w:vertAlign w:val="superscript"/>
        </w:rPr>
        <w:t>6</w:t>
      </w:r>
      <w:r w:rsidRPr="00D516FF">
        <w:t xml:space="preserve">Btu per hour.  The maximum process rate is 13.73 tons per hour </w:t>
      </w:r>
      <w:r w:rsidR="00940EC2" w:rsidRPr="00D516FF">
        <w:t xml:space="preserve">and 120,274.8 tons per year </w:t>
      </w:r>
      <w:r w:rsidRPr="00D516FF">
        <w:t>of raw materials, cullet, and additives for glass production.  The maximum glass pull rate is 280 tons per day and 102,200 tons per year.</w:t>
      </w:r>
    </w:p>
    <w:p w:rsidR="0010706C" w:rsidRPr="00D516FF" w:rsidRDefault="0010706C">
      <w:pPr>
        <w:spacing w:line="480" w:lineRule="auto"/>
        <w:jc w:val="both"/>
      </w:pPr>
    </w:p>
    <w:p w:rsidR="0010706C" w:rsidRPr="00D516FF" w:rsidRDefault="00775FA0">
      <w:pPr>
        <w:spacing w:line="480" w:lineRule="auto"/>
        <w:jc w:val="both"/>
      </w:pPr>
      <w:r w:rsidRPr="00D516FF">
        <w:t xml:space="preserve">The plant contact for </w:t>
      </w:r>
      <w:r w:rsidR="00A7653E" w:rsidRPr="00D516FF">
        <w:t xml:space="preserve">Ardagh </w:t>
      </w:r>
      <w:r w:rsidRPr="00D516FF">
        <w:t xml:space="preserve">Glass is Mr. Michael Lane, Regional Manager - Southeast.  The facility phone number is 904 786 1010, extension 300.  </w:t>
      </w:r>
    </w:p>
    <w:p w:rsidR="007E5A0A" w:rsidRPr="00D516FF" w:rsidRDefault="007E5A0A">
      <w:pPr>
        <w:spacing w:line="480" w:lineRule="auto"/>
        <w:jc w:val="both"/>
      </w:pPr>
    </w:p>
    <w:p w:rsidR="0010706C" w:rsidRPr="00D516FF" w:rsidRDefault="00775FA0">
      <w:pPr>
        <w:pStyle w:val="Heading1"/>
        <w:rPr>
          <w:rFonts w:ascii="Times New Roman" w:hAnsi="Times New Roman" w:cs="Times New Roman"/>
        </w:rPr>
      </w:pPr>
      <w:bookmarkStart w:id="1" w:name="_Toc278364336"/>
      <w:r w:rsidRPr="00D516FF">
        <w:rPr>
          <w:rFonts w:ascii="Times New Roman" w:hAnsi="Times New Roman" w:cs="Times New Roman"/>
        </w:rPr>
        <w:lastRenderedPageBreak/>
        <w:t>2.0</w:t>
      </w:r>
      <w:r w:rsidRPr="00D516FF">
        <w:rPr>
          <w:rFonts w:ascii="Times New Roman" w:hAnsi="Times New Roman" w:cs="Times New Roman"/>
        </w:rPr>
        <w:tab/>
        <w:t>PROCESS DESCRIPTION</w:t>
      </w:r>
      <w:bookmarkEnd w:id="1"/>
    </w:p>
    <w:p w:rsidR="0010706C" w:rsidRPr="00D516FF" w:rsidRDefault="00775FA0">
      <w:pPr>
        <w:spacing w:line="480" w:lineRule="auto"/>
        <w:jc w:val="both"/>
      </w:pPr>
      <w:r w:rsidRPr="00D516FF">
        <w:t>For each test run on each furnace, the following information will be recorded (or calculated, as applicable)</w:t>
      </w:r>
      <w:r w:rsidR="00275C13" w:rsidRPr="00D516FF">
        <w:t xml:space="preserve"> and included in the test report required by this Test Plan</w:t>
      </w:r>
      <w:r w:rsidRPr="00D516FF">
        <w:t xml:space="preserve">:  </w:t>
      </w:r>
    </w:p>
    <w:p w:rsidR="0010706C" w:rsidRPr="00D516FF" w:rsidRDefault="00775FA0">
      <w:pPr>
        <w:pStyle w:val="Level1"/>
        <w:widowControl/>
        <w:numPr>
          <w:ilvl w:val="0"/>
          <w:numId w:val="2"/>
        </w:numPr>
        <w:tabs>
          <w:tab w:val="left" w:pos="1440"/>
        </w:tabs>
        <w:spacing w:line="480" w:lineRule="auto"/>
        <w:ind w:left="1440"/>
        <w:jc w:val="both"/>
      </w:pPr>
      <w:r w:rsidRPr="00D516FF">
        <w:t>Fuel firing rate - cubic feet per hour and Btu per hour</w:t>
      </w:r>
    </w:p>
    <w:p w:rsidR="0010706C" w:rsidRPr="00D516FF" w:rsidRDefault="00775FA0">
      <w:pPr>
        <w:pStyle w:val="Level1"/>
        <w:widowControl/>
        <w:numPr>
          <w:ilvl w:val="0"/>
          <w:numId w:val="2"/>
        </w:numPr>
        <w:tabs>
          <w:tab w:val="left" w:pos="1440"/>
        </w:tabs>
        <w:spacing w:line="480" w:lineRule="auto"/>
        <w:ind w:left="1440"/>
        <w:jc w:val="both"/>
      </w:pPr>
      <w:r w:rsidRPr="00D516FF">
        <w:t>Combustion air flow - cubic feet per minute</w:t>
      </w:r>
    </w:p>
    <w:p w:rsidR="0010706C" w:rsidRPr="00D516FF" w:rsidRDefault="00775FA0">
      <w:pPr>
        <w:pStyle w:val="Level1"/>
        <w:widowControl/>
        <w:numPr>
          <w:ilvl w:val="0"/>
          <w:numId w:val="2"/>
        </w:numPr>
        <w:tabs>
          <w:tab w:val="left" w:pos="1440"/>
        </w:tabs>
        <w:spacing w:line="480" w:lineRule="auto"/>
        <w:ind w:left="1440"/>
        <w:jc w:val="both"/>
      </w:pPr>
      <w:r w:rsidRPr="00D516FF">
        <w:t>Heat input from the electric boost – Btu per hour</w:t>
      </w:r>
    </w:p>
    <w:p w:rsidR="0010706C" w:rsidRPr="00D516FF" w:rsidRDefault="00775FA0">
      <w:pPr>
        <w:pStyle w:val="Level1"/>
        <w:widowControl/>
        <w:numPr>
          <w:ilvl w:val="0"/>
          <w:numId w:val="2"/>
        </w:numPr>
        <w:tabs>
          <w:tab w:val="left" w:pos="1440"/>
        </w:tabs>
        <w:spacing w:line="480" w:lineRule="auto"/>
        <w:ind w:left="1440"/>
        <w:jc w:val="both"/>
      </w:pPr>
      <w:r w:rsidRPr="00D516FF">
        <w:t>Calculated process weight rate (to be recorded hourly for the duration of the test)</w:t>
      </w:r>
    </w:p>
    <w:p w:rsidR="0010706C" w:rsidRPr="00D516FF" w:rsidRDefault="00775FA0">
      <w:pPr>
        <w:pStyle w:val="Level1"/>
        <w:widowControl/>
        <w:numPr>
          <w:ilvl w:val="0"/>
          <w:numId w:val="2"/>
        </w:numPr>
        <w:tabs>
          <w:tab w:val="left" w:pos="1440"/>
        </w:tabs>
        <w:spacing w:line="480" w:lineRule="auto"/>
        <w:ind w:left="1440"/>
        <w:jc w:val="both"/>
      </w:pPr>
      <w:r w:rsidRPr="00D516FF">
        <w:t>Calculated cullet weight percentage (</w:t>
      </w:r>
      <w:r w:rsidR="003D3D66" w:rsidRPr="00D516FF">
        <w:t>to be recorded hourly for the duration of the test</w:t>
      </w:r>
      <w:r w:rsidR="00275C13" w:rsidRPr="00D516FF">
        <w:t>)</w:t>
      </w:r>
      <w:r w:rsidRPr="00D516FF">
        <w:t xml:space="preserve">  </w:t>
      </w:r>
    </w:p>
    <w:p w:rsidR="0010706C" w:rsidRPr="00D516FF" w:rsidRDefault="00775FA0">
      <w:pPr>
        <w:pStyle w:val="Level1"/>
        <w:widowControl/>
        <w:numPr>
          <w:ilvl w:val="0"/>
          <w:numId w:val="2"/>
        </w:numPr>
        <w:tabs>
          <w:tab w:val="left" w:pos="1440"/>
        </w:tabs>
        <w:spacing w:line="480" w:lineRule="auto"/>
        <w:ind w:left="1440"/>
        <w:jc w:val="both"/>
      </w:pPr>
      <w:r w:rsidRPr="00D516FF">
        <w:t>Glass pull rate - tons per hour</w:t>
      </w:r>
    </w:p>
    <w:p w:rsidR="0010706C" w:rsidRPr="00D516FF" w:rsidRDefault="00775FA0">
      <w:pPr>
        <w:pStyle w:val="Level1"/>
        <w:widowControl/>
        <w:numPr>
          <w:ilvl w:val="0"/>
          <w:numId w:val="2"/>
        </w:numPr>
        <w:tabs>
          <w:tab w:val="left" w:pos="1440"/>
        </w:tabs>
        <w:spacing w:line="480" w:lineRule="auto"/>
        <w:ind w:left="1440"/>
        <w:jc w:val="both"/>
      </w:pPr>
      <w:r w:rsidRPr="00D516FF">
        <w:t>PM</w:t>
      </w:r>
      <w:r w:rsidRPr="00D516FF">
        <w:rPr>
          <w:vertAlign w:val="subscript"/>
        </w:rPr>
        <w:t xml:space="preserve"> </w:t>
      </w:r>
      <w:r w:rsidRPr="00D516FF">
        <w:rPr>
          <w:rStyle w:val="FootnoteReference"/>
        </w:rPr>
        <w:footnoteReference w:id="1"/>
      </w:r>
      <w:r w:rsidRPr="00D516FF">
        <w:t>, sulfur dioxide</w:t>
      </w:r>
      <w:r w:rsidRPr="00D516FF">
        <w:rPr>
          <w:rStyle w:val="FootnoteReference"/>
        </w:rPr>
        <w:footnoteReference w:id="2"/>
      </w:r>
      <w:r w:rsidRPr="00D516FF">
        <w:t>, and oxides of nitrogen</w:t>
      </w:r>
      <w:r w:rsidRPr="00D516FF">
        <w:rPr>
          <w:rStyle w:val="FootnoteReference"/>
        </w:rPr>
        <w:footnoteReference w:id="3"/>
      </w:r>
    </w:p>
    <w:p w:rsidR="0010706C" w:rsidRPr="00D516FF" w:rsidRDefault="0010706C">
      <w:pPr>
        <w:pStyle w:val="Level1"/>
        <w:widowControl/>
        <w:spacing w:line="480" w:lineRule="auto"/>
        <w:jc w:val="both"/>
      </w:pPr>
    </w:p>
    <w:p w:rsidR="0010706C" w:rsidRPr="00D516FF" w:rsidRDefault="00775FA0">
      <w:pPr>
        <w:pStyle w:val="Heading1"/>
        <w:rPr>
          <w:rFonts w:ascii="Times New Roman" w:hAnsi="Times New Roman" w:cs="Times New Roman"/>
        </w:rPr>
      </w:pPr>
      <w:bookmarkStart w:id="2" w:name="_Toc278364337"/>
      <w:r w:rsidRPr="00D516FF">
        <w:rPr>
          <w:rFonts w:ascii="Times New Roman" w:hAnsi="Times New Roman" w:cs="Times New Roman"/>
        </w:rPr>
        <w:t>3.0</w:t>
      </w:r>
      <w:r w:rsidRPr="00D516FF">
        <w:rPr>
          <w:rFonts w:ascii="Times New Roman" w:hAnsi="Times New Roman" w:cs="Times New Roman"/>
        </w:rPr>
        <w:tab/>
        <w:t>SAMPLING AND ANALYTICAL PROCEDURES</w:t>
      </w:r>
      <w:bookmarkEnd w:id="2"/>
    </w:p>
    <w:p w:rsidR="0010706C" w:rsidRPr="00D516FF" w:rsidRDefault="00775FA0">
      <w:pPr>
        <w:spacing w:line="480" w:lineRule="auto"/>
        <w:jc w:val="both"/>
      </w:pPr>
      <w:r w:rsidRPr="00D516FF">
        <w:t>Stack testing shall be conducted in accordance with the EPA methods set forth below and with Rule 62-297.310, Florida Administrative Code and shall be conducted each calendar year</w:t>
      </w:r>
      <w:r w:rsidR="00A92509" w:rsidRPr="00D516FF">
        <w:t xml:space="preserve"> with a target testing anniversary date of March 1</w:t>
      </w:r>
      <w:r w:rsidR="000C5456" w:rsidRPr="00D516FF">
        <w:rPr>
          <w:vertAlign w:val="superscript"/>
        </w:rPr>
        <w:t>st</w:t>
      </w:r>
      <w:r w:rsidR="003D3D66" w:rsidRPr="00D516FF">
        <w:t>, except that the annual stack tests may be conducted concurrently with the permit renewal stack testing conducted pursuant to Section 3.1.2 of this Plan, notwithstanding the target testing date of March 1</w:t>
      </w:r>
      <w:r w:rsidR="000C5456" w:rsidRPr="00D516FF">
        <w:rPr>
          <w:vertAlign w:val="superscript"/>
        </w:rPr>
        <w:t>st</w:t>
      </w:r>
      <w:r w:rsidR="003D3D66" w:rsidRPr="00D516FF">
        <w:t xml:space="preserve"> , </w:t>
      </w:r>
    </w:p>
    <w:p w:rsidR="0010706C" w:rsidRPr="00D516FF" w:rsidRDefault="0010706C">
      <w:pPr>
        <w:spacing w:line="480" w:lineRule="auto"/>
        <w:jc w:val="both"/>
      </w:pPr>
    </w:p>
    <w:p w:rsidR="0010706C" w:rsidRPr="00D516FF" w:rsidRDefault="00775FA0">
      <w:pPr>
        <w:spacing w:line="480" w:lineRule="auto"/>
        <w:jc w:val="both"/>
      </w:pPr>
      <w:r w:rsidRPr="00D516FF">
        <w:lastRenderedPageBreak/>
        <w:t xml:space="preserve">Ardagh shall notify the </w:t>
      </w:r>
      <w:r w:rsidR="004F0EFF" w:rsidRPr="00D950A3">
        <w:rPr>
          <w:strike/>
          <w:highlight w:val="yellow"/>
        </w:rPr>
        <w:t xml:space="preserve">Neighborhoods </w:t>
      </w:r>
      <w:r w:rsidRPr="00D950A3">
        <w:rPr>
          <w:strike/>
          <w:highlight w:val="yellow"/>
        </w:rPr>
        <w:t>Department - Environmental Quality Division of the City of Jacksonville (the “Department”)</w:t>
      </w:r>
      <w:r w:rsidRPr="00D516FF">
        <w:t xml:space="preserve"> </w:t>
      </w:r>
      <w:r w:rsidR="00D950A3" w:rsidRPr="00D950A3">
        <w:rPr>
          <w:highlight w:val="yellow"/>
          <w:u w:val="double"/>
        </w:rPr>
        <w:t>Compliance Authority</w:t>
      </w:r>
      <w:r w:rsidR="00D950A3">
        <w:t xml:space="preserve"> </w:t>
      </w:r>
      <w:r w:rsidRPr="00D516FF">
        <w:t xml:space="preserve">fifteen (15) days prior to stack testing.  </w:t>
      </w:r>
    </w:p>
    <w:p w:rsidR="00275C13" w:rsidRPr="00D516FF" w:rsidRDefault="00275C13" w:rsidP="00275C13">
      <w:pPr>
        <w:spacing w:line="480" w:lineRule="auto"/>
        <w:jc w:val="both"/>
      </w:pPr>
    </w:p>
    <w:p w:rsidR="0010706C" w:rsidRPr="00D516FF" w:rsidRDefault="00275C13">
      <w:pPr>
        <w:spacing w:line="480" w:lineRule="auto"/>
        <w:jc w:val="both"/>
      </w:pPr>
      <w:r w:rsidRPr="00D516FF">
        <w:t xml:space="preserve">A test report shall be prepared in accordance with the requirements of Rule 62-297.310(8), Florida Administrative Code, Appendix A to this Test Plan.   </w:t>
      </w:r>
      <w:r w:rsidR="00775FA0" w:rsidRPr="00D516FF">
        <w:t xml:space="preserve">Copies of the stack test report(s) shall be filed with the </w:t>
      </w:r>
      <w:r w:rsidR="00D950A3">
        <w:t>Compliance Authority</w:t>
      </w:r>
      <w:r w:rsidR="00775FA0" w:rsidRPr="00D516FF">
        <w:t xml:space="preserve"> within forty-five (45) days of completion of testing.  </w:t>
      </w:r>
    </w:p>
    <w:p w:rsidR="00275C13" w:rsidRPr="00D516FF" w:rsidRDefault="00275C13">
      <w:pPr>
        <w:spacing w:line="480" w:lineRule="auto"/>
        <w:jc w:val="both"/>
      </w:pPr>
    </w:p>
    <w:p w:rsidR="0010706C" w:rsidRPr="00D516FF" w:rsidRDefault="00775FA0">
      <w:pPr>
        <w:spacing w:line="480" w:lineRule="auto"/>
        <w:jc w:val="both"/>
        <w:rPr>
          <w:b/>
        </w:rPr>
      </w:pPr>
      <w:r w:rsidRPr="00D516FF">
        <w:rPr>
          <w:b/>
        </w:rPr>
        <w:t xml:space="preserve">3.1. </w:t>
      </w:r>
      <w:r w:rsidRPr="00D516FF">
        <w:rPr>
          <w:b/>
        </w:rPr>
        <w:tab/>
        <w:t>Furnace 3</w:t>
      </w:r>
      <w:bookmarkStart w:id="3" w:name="_Toc278364338"/>
    </w:p>
    <w:p w:rsidR="00275C13" w:rsidRPr="00D516FF" w:rsidRDefault="00775FA0">
      <w:pPr>
        <w:spacing w:line="480" w:lineRule="auto"/>
        <w:jc w:val="both"/>
      </w:pPr>
      <w:r w:rsidRPr="00D516FF">
        <w:t>Testing of emissions shall be conducted in accordance with Rule 62-297.310, F</w:t>
      </w:r>
      <w:r w:rsidR="00275C13" w:rsidRPr="00D516FF">
        <w:t>lorida Administrative Code, Appendix A of this Test Plan.</w:t>
      </w:r>
    </w:p>
    <w:p w:rsidR="00275C13" w:rsidRPr="00D516FF" w:rsidRDefault="00275C13">
      <w:pPr>
        <w:spacing w:line="480" w:lineRule="auto"/>
        <w:jc w:val="both"/>
      </w:pPr>
    </w:p>
    <w:p w:rsidR="0010706C" w:rsidRPr="00D516FF" w:rsidRDefault="00775FA0">
      <w:pPr>
        <w:spacing w:line="480" w:lineRule="auto"/>
        <w:jc w:val="both"/>
      </w:pPr>
      <w:r w:rsidRPr="00D516FF">
        <w:t>Testing of emissions shall be conducted while the furnace is</w:t>
      </w:r>
      <w:r w:rsidR="00BC70F1" w:rsidRPr="00D516FF">
        <w:t xml:space="preserve"> operating within the following </w:t>
      </w:r>
      <w:r w:rsidR="007946EB" w:rsidRPr="00D516FF">
        <w:t>range of operating conditions</w:t>
      </w:r>
      <w:r w:rsidR="007946EB" w:rsidRPr="00D516FF" w:rsidDel="00C2201D">
        <w:t xml:space="preserve"> </w:t>
      </w:r>
      <w:r w:rsidRPr="00D516FF">
        <w:t>:</w:t>
      </w:r>
    </w:p>
    <w:p w:rsidR="0010706C" w:rsidRPr="00D516FF" w:rsidRDefault="00775FA0" w:rsidP="00275C13">
      <w:pPr>
        <w:pStyle w:val="Heading2"/>
        <w:rPr>
          <w:rFonts w:ascii="Times New Roman" w:hAnsi="Times New Roman" w:cs="Times New Roman"/>
        </w:rPr>
      </w:pPr>
      <w:r w:rsidRPr="00D516FF">
        <w:rPr>
          <w:rFonts w:ascii="Times New Roman" w:hAnsi="Times New Roman" w:cs="Times New Roman"/>
        </w:rPr>
        <w:t>Producing between 90-100 percent of the maximum glass pull rate allowed by the permit</w:t>
      </w:r>
      <w:r w:rsidR="00275C13" w:rsidRPr="00D516FF">
        <w:rPr>
          <w:rFonts w:ascii="Times New Roman" w:hAnsi="Times New Roman" w:cs="Times New Roman"/>
        </w:rPr>
        <w:t>;</w:t>
      </w:r>
    </w:p>
    <w:p w:rsidR="0010706C" w:rsidRPr="00D516FF" w:rsidRDefault="00775FA0" w:rsidP="00275C13">
      <w:pPr>
        <w:pStyle w:val="Heading2"/>
        <w:rPr>
          <w:rFonts w:ascii="Times New Roman" w:hAnsi="Times New Roman" w:cs="Times New Roman"/>
          <w:b/>
        </w:rPr>
      </w:pPr>
      <w:r w:rsidRPr="00D516FF">
        <w:rPr>
          <w:rFonts w:ascii="Times New Roman" w:hAnsi="Times New Roman" w:cs="Times New Roman"/>
        </w:rPr>
        <w:t>Processing between 90-100% of the maximum process weight rate allowed by the permit</w:t>
      </w:r>
      <w:r w:rsidR="00275C13" w:rsidRPr="00D516FF">
        <w:rPr>
          <w:rFonts w:ascii="Times New Roman" w:hAnsi="Times New Roman" w:cs="Times New Roman"/>
        </w:rPr>
        <w:t>;</w:t>
      </w:r>
    </w:p>
    <w:p w:rsidR="00275C13" w:rsidRPr="00D516FF" w:rsidRDefault="00340416" w:rsidP="00275C13">
      <w:pPr>
        <w:pStyle w:val="Heading2"/>
        <w:rPr>
          <w:rFonts w:ascii="Times New Roman" w:hAnsi="Times New Roman" w:cs="Times New Roman"/>
        </w:rPr>
      </w:pPr>
      <w:r w:rsidRPr="00D516FF">
        <w:rPr>
          <w:rFonts w:ascii="Times New Roman" w:hAnsi="Times New Roman" w:cs="Times New Roman"/>
        </w:rPr>
        <w:t>Processing between 30-35</w:t>
      </w:r>
      <w:r w:rsidR="00775FA0" w:rsidRPr="00D516FF">
        <w:rPr>
          <w:rFonts w:ascii="Times New Roman" w:hAnsi="Times New Roman" w:cs="Times New Roman"/>
        </w:rPr>
        <w:t>% cullet</w:t>
      </w:r>
      <w:r w:rsidR="00275C13" w:rsidRPr="00D516FF">
        <w:rPr>
          <w:rFonts w:ascii="Times New Roman" w:hAnsi="Times New Roman" w:cs="Times New Roman"/>
        </w:rPr>
        <w:t>; and</w:t>
      </w:r>
    </w:p>
    <w:p w:rsidR="0010706C" w:rsidRPr="00D516FF" w:rsidRDefault="00775FA0" w:rsidP="00275C13">
      <w:pPr>
        <w:pStyle w:val="Heading2"/>
        <w:rPr>
          <w:rFonts w:ascii="Times New Roman" w:hAnsi="Times New Roman" w:cs="Times New Roman"/>
        </w:rPr>
      </w:pPr>
      <w:r w:rsidRPr="00D516FF">
        <w:rPr>
          <w:rFonts w:ascii="Times New Roman" w:hAnsi="Times New Roman" w:cs="Times New Roman"/>
        </w:rPr>
        <w:lastRenderedPageBreak/>
        <w:t>Using the heat and electric boost input rates that fall within the normal range of operating conditions under which the furnace is expected to operate in consideration of the cullet percentage range above.</w:t>
      </w:r>
    </w:p>
    <w:p w:rsidR="00C2201D" w:rsidRPr="00D516FF" w:rsidRDefault="00B8649D" w:rsidP="00275C13">
      <w:pPr>
        <w:spacing w:line="480" w:lineRule="auto"/>
        <w:jc w:val="both"/>
      </w:pPr>
      <w:r w:rsidRPr="00D516FF">
        <w:t>Testing of emissions shall be conducted with the Emissions Unit operating at permitted capacity. Permitted capacity is defined as 90-100 percent of the maximum operating rate allowed by the permit (maximum glass pull rate and maximum process weight rate). If it is impracticable to test at permitted capacity, then Emissions Units may be tested at less capacity; in this case subsequent Emissions Unit operation is limited to 110 percent of the test load</w:t>
      </w:r>
      <w:r w:rsidR="007946EB" w:rsidRPr="00D516FF">
        <w:t xml:space="preserve"> (tested glass pull rate and tested process weight rate)</w:t>
      </w:r>
      <w:r w:rsidRPr="00D516FF">
        <w:t xml:space="preserve"> until a new test is conducted. Once the Emissions Unit is so limited, then operation at higher capacities is allowed for no more than 15 consecutive days for the purposes of additional compliance testing to regain the permitted capacity in the permit.  </w:t>
      </w:r>
    </w:p>
    <w:p w:rsidR="00C2201D" w:rsidRPr="00D516FF" w:rsidRDefault="00C2201D" w:rsidP="00275C13">
      <w:pPr>
        <w:spacing w:line="480" w:lineRule="auto"/>
        <w:jc w:val="both"/>
      </w:pPr>
    </w:p>
    <w:p w:rsidR="0010706C" w:rsidRPr="00D516FF" w:rsidRDefault="00041444" w:rsidP="00275C13">
      <w:pPr>
        <w:spacing w:line="480" w:lineRule="auto"/>
        <w:jc w:val="both"/>
      </w:pPr>
      <w:r w:rsidRPr="00D516FF">
        <w:t xml:space="preserve">If </w:t>
      </w:r>
      <w:r w:rsidR="00C046FB" w:rsidRPr="00D516FF">
        <w:t>t</w:t>
      </w:r>
      <w:r w:rsidRPr="00D516FF">
        <w:t xml:space="preserve">esting of emissions is conducted with the Emissions Unit operating </w:t>
      </w:r>
      <w:r w:rsidR="007946EB" w:rsidRPr="00D516FF">
        <w:t>at higher than</w:t>
      </w:r>
      <w:r w:rsidRPr="00D516FF">
        <w:t xml:space="preserve"> the cullet weight % range listed above then </w:t>
      </w:r>
      <w:r w:rsidR="00775FA0" w:rsidRPr="00D516FF">
        <w:t xml:space="preserve">Ardagh shall notify the </w:t>
      </w:r>
      <w:r w:rsidR="00D950A3">
        <w:t>Compliance Authority</w:t>
      </w:r>
      <w:r w:rsidR="00775FA0" w:rsidRPr="00D516FF">
        <w:t xml:space="preserve">, and the </w:t>
      </w:r>
      <w:r w:rsidR="00D950A3">
        <w:t>Compliance Authority</w:t>
      </w:r>
      <w:r w:rsidR="00775FA0" w:rsidRPr="00D516FF">
        <w:t xml:space="preserve"> shall determine whether retesting is warranted.</w:t>
      </w:r>
      <w:r w:rsidR="00BC70F1" w:rsidRPr="00D516FF">
        <w:t xml:space="preserve">  The </w:t>
      </w:r>
      <w:r w:rsidR="007946EB" w:rsidRPr="00D516FF">
        <w:t xml:space="preserve">above operating conditions shall be recorded during the test </w:t>
      </w:r>
      <w:r w:rsidR="00B1374A" w:rsidRPr="00D516FF">
        <w:t xml:space="preserve">pursuant to Section 2.0 </w:t>
      </w:r>
      <w:r w:rsidR="007946EB" w:rsidRPr="00D516FF">
        <w:t>and</w:t>
      </w:r>
      <w:r w:rsidR="004A267B" w:rsidRPr="00D516FF">
        <w:t xml:space="preserve"> submitted along with the compliance test results.</w:t>
      </w:r>
      <w:r w:rsidR="00BC70F1" w:rsidRPr="00D516FF">
        <w:t xml:space="preserve"> </w:t>
      </w:r>
      <w:r w:rsidR="00775FA0" w:rsidRPr="00D516FF">
        <w:t xml:space="preserve">  </w:t>
      </w:r>
    </w:p>
    <w:bookmarkEnd w:id="3"/>
    <w:p w:rsidR="0010706C" w:rsidRPr="00D516FF" w:rsidRDefault="0010706C">
      <w:pPr>
        <w:spacing w:line="480" w:lineRule="auto"/>
        <w:jc w:val="both"/>
        <w:rPr>
          <w:b/>
        </w:rPr>
      </w:pPr>
    </w:p>
    <w:p w:rsidR="0010706C" w:rsidRPr="00D516FF" w:rsidRDefault="00775FA0">
      <w:pPr>
        <w:spacing w:line="480" w:lineRule="auto"/>
        <w:jc w:val="both"/>
        <w:rPr>
          <w:b/>
        </w:rPr>
      </w:pPr>
      <w:r w:rsidRPr="00D516FF">
        <w:rPr>
          <w:b/>
        </w:rPr>
        <w:t xml:space="preserve">3.11  </w:t>
      </w:r>
      <w:r w:rsidRPr="00D516FF">
        <w:rPr>
          <w:b/>
        </w:rPr>
        <w:tab/>
        <w:t>Particulate Matter Emissions</w:t>
      </w:r>
    </w:p>
    <w:p w:rsidR="0010706C" w:rsidRPr="00D516FF" w:rsidRDefault="00775FA0">
      <w:pPr>
        <w:spacing w:line="480" w:lineRule="auto"/>
        <w:jc w:val="both"/>
      </w:pPr>
      <w:r w:rsidRPr="00D516FF">
        <w:lastRenderedPageBreak/>
        <w:t xml:space="preserve">The particulate matter emission measurements will be conducted </w:t>
      </w:r>
      <w:r w:rsidR="004A267B" w:rsidRPr="00D516FF">
        <w:t xml:space="preserve">annually </w:t>
      </w:r>
      <w:r w:rsidRPr="00D516FF">
        <w:t xml:space="preserve">in accordance with EPA Reference Method 5 (as described in 40 CFR 60, Appendix A), for the determination of the PM emissions rate.  </w:t>
      </w:r>
    </w:p>
    <w:p w:rsidR="0010706C" w:rsidRPr="00D516FF" w:rsidRDefault="0010706C">
      <w:pPr>
        <w:spacing w:line="480" w:lineRule="auto"/>
        <w:jc w:val="both"/>
      </w:pPr>
    </w:p>
    <w:p w:rsidR="0010706C" w:rsidRPr="00D516FF" w:rsidRDefault="00775FA0">
      <w:pPr>
        <w:spacing w:line="480" w:lineRule="auto"/>
        <w:jc w:val="both"/>
      </w:pPr>
      <w:r w:rsidRPr="00D516FF">
        <w:t xml:space="preserve">The particulate matter testing minimum sampling volume shall be 25 dry standard cubic feet per run.  </w:t>
      </w:r>
    </w:p>
    <w:p w:rsidR="0010706C" w:rsidRPr="00D516FF" w:rsidRDefault="0010706C">
      <w:pPr>
        <w:spacing w:line="480" w:lineRule="auto"/>
        <w:jc w:val="both"/>
      </w:pPr>
    </w:p>
    <w:p w:rsidR="0010706C" w:rsidRPr="00D516FF" w:rsidRDefault="00775FA0">
      <w:pPr>
        <w:spacing w:line="480" w:lineRule="auto"/>
        <w:rPr>
          <w:b/>
          <w:vertAlign w:val="subscript"/>
        </w:rPr>
      </w:pPr>
      <w:r w:rsidRPr="00D516FF">
        <w:rPr>
          <w:b/>
        </w:rPr>
        <w:t>3.1.2</w:t>
      </w:r>
      <w:r w:rsidRPr="00D516FF">
        <w:rPr>
          <w:b/>
        </w:rPr>
        <w:tab/>
        <w:t>SO</w:t>
      </w:r>
      <w:r w:rsidRPr="00D516FF">
        <w:rPr>
          <w:b/>
          <w:vertAlign w:val="subscript"/>
        </w:rPr>
        <w:t>2</w:t>
      </w:r>
      <w:r w:rsidRPr="00D516FF">
        <w:rPr>
          <w:b/>
        </w:rPr>
        <w:t xml:space="preserve"> and NO</w:t>
      </w:r>
      <w:r w:rsidRPr="00D516FF">
        <w:rPr>
          <w:b/>
          <w:vertAlign w:val="subscript"/>
        </w:rPr>
        <w:t>x</w:t>
      </w:r>
    </w:p>
    <w:p w:rsidR="0010706C" w:rsidRPr="00D516FF" w:rsidRDefault="00775FA0">
      <w:pPr>
        <w:spacing w:line="480" w:lineRule="auto"/>
      </w:pPr>
      <w:r w:rsidRPr="00D516FF">
        <w:t xml:space="preserve">Testing for demonstration of compliance shall be performed </w:t>
      </w:r>
      <w:r w:rsidR="00F238D4" w:rsidRPr="00D516FF">
        <w:t xml:space="preserve">at least 270 days prior to the expiration date of the Title V permit </w:t>
      </w:r>
      <w:r w:rsidRPr="00D516FF">
        <w:t xml:space="preserve">in accordance with EPA RM 6 or 6C (as described in 40 CFR 60, Appendix A) for the determination of sulfur dioxide emissions.  </w:t>
      </w:r>
    </w:p>
    <w:p w:rsidR="0010706C" w:rsidRPr="00D516FF" w:rsidRDefault="0010706C">
      <w:pPr>
        <w:spacing w:line="480" w:lineRule="auto"/>
      </w:pPr>
    </w:p>
    <w:p w:rsidR="0010706C" w:rsidRPr="00D516FF" w:rsidRDefault="00775FA0">
      <w:pPr>
        <w:spacing w:line="480" w:lineRule="auto"/>
      </w:pPr>
      <w:r w:rsidRPr="00D516FF">
        <w:t xml:space="preserve">Testing for demonstration of compliance shall be performed </w:t>
      </w:r>
      <w:r w:rsidR="00F238D4" w:rsidRPr="00D516FF">
        <w:t xml:space="preserve">at least 270 days prior to the expiration date of the Title V permit </w:t>
      </w:r>
      <w:r w:rsidRPr="00D516FF">
        <w:t xml:space="preserve">in accordance with EPA RM 7, 7A, or 7E (as described in 40 CFR 60, Appendix A) for the determination of the oxides of nitrogen emissions.  </w:t>
      </w:r>
    </w:p>
    <w:p w:rsidR="00F05691" w:rsidRPr="00D516FF" w:rsidRDefault="00F05691">
      <w:pPr>
        <w:spacing w:line="480" w:lineRule="auto"/>
        <w:rPr>
          <w:b/>
        </w:rPr>
      </w:pPr>
    </w:p>
    <w:p w:rsidR="0010706C" w:rsidRPr="00D516FF" w:rsidRDefault="00775FA0">
      <w:pPr>
        <w:spacing w:line="480" w:lineRule="auto"/>
        <w:rPr>
          <w:b/>
        </w:rPr>
      </w:pPr>
      <w:r w:rsidRPr="00D516FF">
        <w:rPr>
          <w:b/>
        </w:rPr>
        <w:t>3.1.3</w:t>
      </w:r>
      <w:r w:rsidRPr="00D516FF">
        <w:t xml:space="preserve">.  </w:t>
      </w:r>
      <w:r w:rsidRPr="00D516FF">
        <w:rPr>
          <w:b/>
        </w:rPr>
        <w:t>Visible Emissions</w:t>
      </w:r>
    </w:p>
    <w:p w:rsidR="0010706C" w:rsidRPr="00D516FF" w:rsidRDefault="00775FA0">
      <w:pPr>
        <w:spacing w:line="480" w:lineRule="auto"/>
      </w:pPr>
      <w:r w:rsidRPr="00D516FF">
        <w:t xml:space="preserve">Testing for demonstration of compliance shall be performed </w:t>
      </w:r>
      <w:r w:rsidR="00F238D4" w:rsidRPr="00D516FF">
        <w:t xml:space="preserve">annually </w:t>
      </w:r>
      <w:r w:rsidRPr="00D516FF">
        <w:t xml:space="preserve">in accordance with EPA Reference Method 9 (as described in 40 CFR 60, Appendix A) for the visual determination of opacity.  </w:t>
      </w:r>
    </w:p>
    <w:p w:rsidR="0010706C" w:rsidRPr="00D516FF" w:rsidRDefault="0010706C">
      <w:pPr>
        <w:spacing w:line="480" w:lineRule="auto"/>
      </w:pPr>
    </w:p>
    <w:p w:rsidR="0010706C" w:rsidRPr="00D516FF" w:rsidRDefault="00775FA0">
      <w:pPr>
        <w:spacing w:line="480" w:lineRule="auto"/>
      </w:pPr>
      <w:r w:rsidRPr="00D516FF">
        <w:lastRenderedPageBreak/>
        <w:t>Visual emissions testing shall be conducted for a minimum period of 30 minutes</w:t>
      </w:r>
      <w:r w:rsidR="004A267B" w:rsidRPr="00D516FF">
        <w:t xml:space="preserve"> and conducted concurrently with the particulate matter testing</w:t>
      </w:r>
      <w:r w:rsidRPr="00D516FF">
        <w:t xml:space="preserve">.  </w:t>
      </w:r>
    </w:p>
    <w:p w:rsidR="0010706C" w:rsidRPr="00D516FF" w:rsidRDefault="0010706C"/>
    <w:p w:rsidR="0010706C" w:rsidRPr="00D516FF" w:rsidRDefault="0010706C">
      <w:pPr>
        <w:rPr>
          <w:b/>
        </w:rPr>
      </w:pPr>
    </w:p>
    <w:p w:rsidR="00D516FF" w:rsidRDefault="00D516FF">
      <w:pPr>
        <w:spacing w:line="480" w:lineRule="auto"/>
        <w:rPr>
          <w:b/>
        </w:rPr>
      </w:pPr>
    </w:p>
    <w:p w:rsidR="0010706C" w:rsidRPr="00D516FF" w:rsidRDefault="00775FA0">
      <w:pPr>
        <w:spacing w:line="480" w:lineRule="auto"/>
        <w:rPr>
          <w:b/>
        </w:rPr>
      </w:pPr>
      <w:r w:rsidRPr="00D516FF">
        <w:rPr>
          <w:b/>
        </w:rPr>
        <w:t>3.2.</w:t>
      </w:r>
      <w:r w:rsidRPr="00D516FF">
        <w:rPr>
          <w:b/>
        </w:rPr>
        <w:tab/>
        <w:t>Furnace 4</w:t>
      </w:r>
    </w:p>
    <w:p w:rsidR="0010706C" w:rsidRPr="00D516FF" w:rsidRDefault="00775FA0">
      <w:pPr>
        <w:spacing w:line="480" w:lineRule="auto"/>
        <w:jc w:val="both"/>
      </w:pPr>
      <w:r w:rsidRPr="00D516FF">
        <w:t>Testing of emissions shall be conducted while the furnace is</w:t>
      </w:r>
      <w:r w:rsidR="00F238D4" w:rsidRPr="00D516FF">
        <w:t xml:space="preserve"> operating within the following </w:t>
      </w:r>
      <w:r w:rsidR="007946EB" w:rsidRPr="00D516FF">
        <w:t xml:space="preserve"> range of operating conditions</w:t>
      </w:r>
      <w:r w:rsidRPr="00D516FF">
        <w:t>:</w:t>
      </w:r>
    </w:p>
    <w:p w:rsidR="0010706C" w:rsidRPr="00D516FF" w:rsidRDefault="00775FA0" w:rsidP="00275C13">
      <w:pPr>
        <w:pStyle w:val="Heading2"/>
        <w:rPr>
          <w:rFonts w:ascii="Times New Roman" w:hAnsi="Times New Roman" w:cs="Times New Roman"/>
        </w:rPr>
      </w:pPr>
      <w:r w:rsidRPr="00D516FF">
        <w:rPr>
          <w:rFonts w:ascii="Times New Roman" w:hAnsi="Times New Roman" w:cs="Times New Roman"/>
        </w:rPr>
        <w:t>Producing between 90-100 percent of the maximum glass pull rate allowed by the permit;</w:t>
      </w:r>
    </w:p>
    <w:p w:rsidR="0010706C" w:rsidRPr="00D516FF" w:rsidRDefault="00775FA0" w:rsidP="00275C13">
      <w:pPr>
        <w:pStyle w:val="Heading2"/>
        <w:rPr>
          <w:rFonts w:ascii="Times New Roman" w:hAnsi="Times New Roman" w:cs="Times New Roman"/>
          <w:b/>
        </w:rPr>
      </w:pPr>
      <w:r w:rsidRPr="00D516FF">
        <w:rPr>
          <w:rFonts w:ascii="Times New Roman" w:hAnsi="Times New Roman" w:cs="Times New Roman"/>
        </w:rPr>
        <w:t>Processing between 90-100% of the maximum process weight rate allowed by the permit;</w:t>
      </w:r>
    </w:p>
    <w:p w:rsidR="0010706C" w:rsidRPr="00D516FF" w:rsidRDefault="00775FA0" w:rsidP="00275C13">
      <w:pPr>
        <w:pStyle w:val="Heading2"/>
        <w:rPr>
          <w:rFonts w:ascii="Times New Roman" w:hAnsi="Times New Roman" w:cs="Times New Roman"/>
          <w:b/>
        </w:rPr>
      </w:pPr>
      <w:r w:rsidRPr="00D516FF">
        <w:rPr>
          <w:rFonts w:ascii="Times New Roman" w:hAnsi="Times New Roman" w:cs="Times New Roman"/>
        </w:rPr>
        <w:t>Pr</w:t>
      </w:r>
      <w:r w:rsidR="00275C13" w:rsidRPr="00D516FF">
        <w:rPr>
          <w:rFonts w:ascii="Times New Roman" w:hAnsi="Times New Roman" w:cs="Times New Roman"/>
        </w:rPr>
        <w:t>ocessing between  45-50% cullet; and</w:t>
      </w:r>
    </w:p>
    <w:p w:rsidR="0010706C" w:rsidRPr="00D516FF" w:rsidRDefault="00775FA0" w:rsidP="00275C13">
      <w:pPr>
        <w:pStyle w:val="Heading2"/>
        <w:rPr>
          <w:rFonts w:ascii="Times New Roman" w:hAnsi="Times New Roman" w:cs="Times New Roman"/>
        </w:rPr>
      </w:pPr>
      <w:r w:rsidRPr="00D516FF">
        <w:rPr>
          <w:rFonts w:ascii="Times New Roman" w:hAnsi="Times New Roman" w:cs="Times New Roman"/>
        </w:rPr>
        <w:t>Using the heat and electric boost input rates that fall within the normal range of operating conditions under which the furnace is expected to operate in consideration of the cullet percentage range above.</w:t>
      </w:r>
    </w:p>
    <w:p w:rsidR="00C2201D" w:rsidRPr="00D516FF" w:rsidRDefault="00AF05E2" w:rsidP="00275C13">
      <w:pPr>
        <w:spacing w:line="480" w:lineRule="auto"/>
        <w:jc w:val="both"/>
      </w:pPr>
      <w:r w:rsidRPr="00D516FF">
        <w:t xml:space="preserve">Testing of emissions shall be conducted with the Emissions Unit operating at permitted capacity. Permitted capacity is defined as 90-100 percent of the maximum operating rate allowed by the permit (maximum glass pull rate and maximum process weight rate). If it is impracticable to test at permitted capacity, then Emissions Units may be tested at less capacity; in this case subsequent Emissions Unit operation is limited to 110 percent of the test load </w:t>
      </w:r>
      <w:r w:rsidR="007946EB" w:rsidRPr="00D516FF">
        <w:t xml:space="preserve">(tested glass pull rate and tested process weight rate) </w:t>
      </w:r>
      <w:r w:rsidRPr="00D516FF">
        <w:t xml:space="preserve">until a new test is conducted. Once the Emissions Unit is so limited, then operation at higher capacities is </w:t>
      </w:r>
      <w:r w:rsidRPr="00D516FF">
        <w:lastRenderedPageBreak/>
        <w:t xml:space="preserve">allowed for no more than 15 consecutive days for the purposes of additional compliance testing to regain the permitted capacity in the permit.  </w:t>
      </w:r>
    </w:p>
    <w:p w:rsidR="00C2201D" w:rsidRPr="00D516FF" w:rsidRDefault="00C2201D" w:rsidP="00275C13">
      <w:pPr>
        <w:spacing w:line="480" w:lineRule="auto"/>
        <w:jc w:val="both"/>
      </w:pPr>
    </w:p>
    <w:p w:rsidR="0010706C" w:rsidRPr="00D516FF" w:rsidRDefault="00AF05E2" w:rsidP="00275C13">
      <w:pPr>
        <w:spacing w:line="480" w:lineRule="auto"/>
        <w:jc w:val="both"/>
      </w:pPr>
      <w:r w:rsidRPr="00D516FF">
        <w:t xml:space="preserve">If </w:t>
      </w:r>
      <w:r w:rsidR="0095659E" w:rsidRPr="00D516FF">
        <w:t>t</w:t>
      </w:r>
      <w:r w:rsidRPr="00D516FF">
        <w:t xml:space="preserve">esting of emissions is conducted with the Emissions Unit operating </w:t>
      </w:r>
      <w:r w:rsidR="007946EB" w:rsidRPr="00D516FF">
        <w:t xml:space="preserve">at higher than </w:t>
      </w:r>
      <w:r w:rsidRPr="00D516FF">
        <w:t xml:space="preserve">the cullet weight % range listed above </w:t>
      </w:r>
      <w:r w:rsidR="0095659E" w:rsidRPr="00D516FF">
        <w:t xml:space="preserve">then </w:t>
      </w:r>
      <w:r w:rsidR="00775FA0" w:rsidRPr="00D516FF">
        <w:t xml:space="preserve">Ardagh shall notify the </w:t>
      </w:r>
      <w:r w:rsidR="00D950A3">
        <w:t>Compliance Authority</w:t>
      </w:r>
      <w:r w:rsidR="00775FA0" w:rsidRPr="00D516FF">
        <w:t xml:space="preserve">, and the </w:t>
      </w:r>
      <w:r w:rsidR="00D950A3">
        <w:t>Compliance Authority</w:t>
      </w:r>
      <w:r w:rsidR="00775FA0" w:rsidRPr="00D516FF">
        <w:t xml:space="preserve"> shall determine whether retesting is warranted.</w:t>
      </w:r>
      <w:r w:rsidR="0095659E" w:rsidRPr="00D516FF">
        <w:t xml:space="preserve">  The above operating</w:t>
      </w:r>
      <w:r w:rsidR="00C2201D" w:rsidRPr="00D516FF">
        <w:t xml:space="preserve"> </w:t>
      </w:r>
      <w:r w:rsidR="007946EB" w:rsidRPr="00D516FF">
        <w:t>conditions shall be recorded during the test</w:t>
      </w:r>
      <w:r w:rsidR="00B1374A" w:rsidRPr="00D516FF">
        <w:t xml:space="preserve"> pursuant to Section 2.0</w:t>
      </w:r>
      <w:r w:rsidR="007946EB" w:rsidRPr="00D516FF">
        <w:t xml:space="preserve"> and </w:t>
      </w:r>
      <w:r w:rsidR="0095659E" w:rsidRPr="00D516FF">
        <w:t xml:space="preserve">  submitted along with the compliance test results.</w:t>
      </w:r>
      <w:r w:rsidR="00775FA0" w:rsidRPr="00D516FF">
        <w:t xml:space="preserve"> </w:t>
      </w:r>
    </w:p>
    <w:p w:rsidR="0010706C" w:rsidRPr="00D516FF" w:rsidRDefault="0010706C">
      <w:pPr>
        <w:spacing w:line="480" w:lineRule="auto"/>
      </w:pPr>
    </w:p>
    <w:p w:rsidR="0010706C" w:rsidRPr="00D516FF" w:rsidRDefault="00775FA0">
      <w:pPr>
        <w:spacing w:line="480" w:lineRule="auto"/>
        <w:jc w:val="both"/>
        <w:rPr>
          <w:b/>
        </w:rPr>
      </w:pPr>
      <w:r w:rsidRPr="00D516FF">
        <w:rPr>
          <w:b/>
        </w:rPr>
        <w:t>3.2.1</w:t>
      </w:r>
      <w:r w:rsidRPr="00D516FF">
        <w:rPr>
          <w:b/>
        </w:rPr>
        <w:tab/>
        <w:t>Particulate Matter Emissions</w:t>
      </w:r>
    </w:p>
    <w:p w:rsidR="0010706C" w:rsidRPr="00D516FF" w:rsidRDefault="00775FA0">
      <w:pPr>
        <w:spacing w:line="480" w:lineRule="auto"/>
        <w:jc w:val="both"/>
      </w:pPr>
      <w:r w:rsidRPr="00D516FF">
        <w:t xml:space="preserve">The particulate matter emission measurements will be conducted </w:t>
      </w:r>
      <w:r w:rsidR="0095659E" w:rsidRPr="00D516FF">
        <w:t xml:space="preserve">annually </w:t>
      </w:r>
      <w:r w:rsidRPr="00D516FF">
        <w:t xml:space="preserve">in accordance with EPA Reference Method 5 (as described in 40 CFR 60, Appendix A), for the determination of the PM emissions rate.  </w:t>
      </w:r>
    </w:p>
    <w:p w:rsidR="00275C13" w:rsidRPr="00D516FF" w:rsidRDefault="00275C13">
      <w:pPr>
        <w:spacing w:line="480" w:lineRule="auto"/>
        <w:jc w:val="both"/>
      </w:pPr>
    </w:p>
    <w:p w:rsidR="0010706C" w:rsidRPr="00D516FF" w:rsidRDefault="00775FA0">
      <w:pPr>
        <w:spacing w:line="480" w:lineRule="auto"/>
        <w:jc w:val="both"/>
      </w:pPr>
      <w:r w:rsidRPr="00D516FF">
        <w:t xml:space="preserve">The particulate matter testing minimum sampling volume shall be 25 dry standard cubic feet per run.  </w:t>
      </w:r>
    </w:p>
    <w:p w:rsidR="0010706C" w:rsidRPr="00D516FF" w:rsidRDefault="0010706C">
      <w:pPr>
        <w:spacing w:line="480" w:lineRule="auto"/>
        <w:jc w:val="both"/>
      </w:pPr>
    </w:p>
    <w:p w:rsidR="0010706C" w:rsidRPr="00D516FF" w:rsidRDefault="00775FA0">
      <w:pPr>
        <w:keepNext/>
        <w:spacing w:line="480" w:lineRule="auto"/>
        <w:rPr>
          <w:b/>
        </w:rPr>
      </w:pPr>
      <w:r w:rsidRPr="00D516FF">
        <w:rPr>
          <w:b/>
        </w:rPr>
        <w:t xml:space="preserve">3.2.2 </w:t>
      </w:r>
      <w:r w:rsidRPr="00D516FF">
        <w:rPr>
          <w:b/>
        </w:rPr>
        <w:tab/>
        <w:t>SO</w:t>
      </w:r>
      <w:r w:rsidRPr="00D516FF">
        <w:rPr>
          <w:b/>
          <w:vertAlign w:val="subscript"/>
        </w:rPr>
        <w:t>2</w:t>
      </w:r>
      <w:r w:rsidRPr="00D516FF">
        <w:rPr>
          <w:b/>
        </w:rPr>
        <w:t xml:space="preserve"> and NO</w:t>
      </w:r>
      <w:r w:rsidRPr="00D516FF">
        <w:rPr>
          <w:b/>
          <w:vertAlign w:val="subscript"/>
        </w:rPr>
        <w:t>x</w:t>
      </w:r>
    </w:p>
    <w:p w:rsidR="0010706C" w:rsidRPr="00D516FF" w:rsidRDefault="00775FA0">
      <w:pPr>
        <w:spacing w:line="480" w:lineRule="auto"/>
      </w:pPr>
      <w:r w:rsidRPr="00D516FF">
        <w:t>Testing shall be conducted annually during 201</w:t>
      </w:r>
      <w:r w:rsidR="009B6B1E" w:rsidRPr="00D516FF">
        <w:t>2</w:t>
      </w:r>
      <w:r w:rsidRPr="00D516FF">
        <w:t xml:space="preserve"> – 2016 in accordance with Final Air Construction Permit No. 0310005-012-AC</w:t>
      </w:r>
      <w:r w:rsidR="00275C13" w:rsidRPr="00D516FF">
        <w:t>.</w:t>
      </w:r>
    </w:p>
    <w:p w:rsidR="0010706C" w:rsidRPr="00D516FF" w:rsidRDefault="0010706C">
      <w:pPr>
        <w:spacing w:line="480" w:lineRule="auto"/>
      </w:pPr>
    </w:p>
    <w:p w:rsidR="0010706C" w:rsidRPr="00D516FF" w:rsidRDefault="00775FA0">
      <w:pPr>
        <w:spacing w:line="480" w:lineRule="auto"/>
      </w:pPr>
      <w:r w:rsidRPr="00D516FF">
        <w:lastRenderedPageBreak/>
        <w:t xml:space="preserve">Testing for demonstration of compliance shall be performed in accordance with EPA RM 6 or 6C (as described in 40 CFR 60, Appendix A) for the determination of sulfur dioxide emissions.  </w:t>
      </w:r>
    </w:p>
    <w:p w:rsidR="0010706C" w:rsidRPr="00D516FF" w:rsidRDefault="0010706C">
      <w:pPr>
        <w:spacing w:line="480" w:lineRule="auto"/>
      </w:pPr>
    </w:p>
    <w:p w:rsidR="0010706C" w:rsidRPr="00D516FF" w:rsidRDefault="00775FA0">
      <w:pPr>
        <w:spacing w:line="480" w:lineRule="auto"/>
      </w:pPr>
      <w:r w:rsidRPr="00D516FF">
        <w:t xml:space="preserve">Testing for demonstration of compliance shall be performed in accordance with EPA RM 7, 7A, or 7E (as described in 40 CFR 60, Appendix A) for the determination of the oxides of nitrogen emissions.  </w:t>
      </w:r>
    </w:p>
    <w:p w:rsidR="00275C13" w:rsidRPr="00D516FF" w:rsidRDefault="00275C13">
      <w:pPr>
        <w:spacing w:line="480" w:lineRule="auto"/>
        <w:rPr>
          <w:b/>
        </w:rPr>
      </w:pPr>
    </w:p>
    <w:p w:rsidR="0010706C" w:rsidRPr="00D516FF" w:rsidRDefault="00775FA0">
      <w:pPr>
        <w:spacing w:line="480" w:lineRule="auto"/>
        <w:rPr>
          <w:b/>
        </w:rPr>
      </w:pPr>
      <w:r w:rsidRPr="00D516FF">
        <w:rPr>
          <w:b/>
        </w:rPr>
        <w:t>3.3.2  Visible Emissions</w:t>
      </w:r>
    </w:p>
    <w:p w:rsidR="0010706C" w:rsidRPr="00D516FF" w:rsidRDefault="00775FA0">
      <w:pPr>
        <w:spacing w:line="480" w:lineRule="auto"/>
      </w:pPr>
      <w:r w:rsidRPr="00D516FF">
        <w:t xml:space="preserve">Testing for demonstration of compliance shall be performed </w:t>
      </w:r>
      <w:r w:rsidR="0095659E" w:rsidRPr="00D516FF">
        <w:t xml:space="preserve">annually </w:t>
      </w:r>
      <w:r w:rsidRPr="00D516FF">
        <w:t xml:space="preserve">in accordance with EPA Reference Method 9 (as described in 40 CFR 60, Appendix A) for the visual determination of opacity. </w:t>
      </w:r>
    </w:p>
    <w:p w:rsidR="0010706C" w:rsidRPr="00D516FF" w:rsidRDefault="0010706C">
      <w:pPr>
        <w:spacing w:line="480" w:lineRule="auto"/>
      </w:pPr>
    </w:p>
    <w:p w:rsidR="0010706C" w:rsidRPr="00D516FF" w:rsidRDefault="00775FA0" w:rsidP="00F05691">
      <w:pPr>
        <w:spacing w:line="480" w:lineRule="auto"/>
      </w:pPr>
      <w:r w:rsidRPr="00D516FF">
        <w:t>Visual emissions testing shall be conducted for a minimum period of 30 minutes</w:t>
      </w:r>
      <w:r w:rsidR="004A267B" w:rsidRPr="00D516FF">
        <w:t xml:space="preserve"> and conducted concurrently with the particulate matter testing</w:t>
      </w:r>
      <w:r w:rsidRPr="00D516FF">
        <w:t xml:space="preserve">.  </w:t>
      </w:r>
    </w:p>
    <w:p w:rsidR="0010706C" w:rsidRPr="00D516FF" w:rsidRDefault="0010706C">
      <w:pPr>
        <w:pStyle w:val="Heading1"/>
        <w:rPr>
          <w:rFonts w:ascii="Times New Roman" w:hAnsi="Times New Roman" w:cs="Times New Roman"/>
        </w:rPr>
      </w:pPr>
    </w:p>
    <w:p w:rsidR="0010706C" w:rsidRPr="00D516FF" w:rsidRDefault="00775FA0">
      <w:pPr>
        <w:pStyle w:val="Heading1"/>
        <w:rPr>
          <w:rFonts w:ascii="Times New Roman" w:hAnsi="Times New Roman" w:cs="Times New Roman"/>
        </w:rPr>
      </w:pPr>
      <w:bookmarkStart w:id="4" w:name="_Toc278364340"/>
      <w:r w:rsidRPr="00D516FF">
        <w:rPr>
          <w:rFonts w:ascii="Times New Roman" w:hAnsi="Times New Roman" w:cs="Times New Roman"/>
        </w:rPr>
        <w:t>4.0</w:t>
      </w:r>
      <w:r w:rsidRPr="00D516FF">
        <w:rPr>
          <w:rFonts w:ascii="Times New Roman" w:hAnsi="Times New Roman" w:cs="Times New Roman"/>
        </w:rPr>
        <w:tab/>
        <w:t>SAMPLING Facilities</w:t>
      </w:r>
      <w:bookmarkEnd w:id="4"/>
    </w:p>
    <w:p w:rsidR="0010706C" w:rsidRPr="00D516FF" w:rsidRDefault="00775FA0">
      <w:pPr>
        <w:spacing w:line="480" w:lineRule="auto"/>
      </w:pPr>
      <w:r w:rsidRPr="00D516FF">
        <w:t>Sampling facilities shall conform to the requirements of Rule 62-297.310(6), Florida Administrative Code, Appendix A to this Test Plan.</w:t>
      </w:r>
    </w:p>
    <w:p w:rsidR="0010706C" w:rsidRPr="00D516FF" w:rsidRDefault="0010706C">
      <w:pPr>
        <w:spacing w:line="480" w:lineRule="auto"/>
        <w:jc w:val="both"/>
      </w:pPr>
    </w:p>
    <w:p w:rsidR="0010706C" w:rsidRPr="00D516FF" w:rsidRDefault="0010706C">
      <w:pPr>
        <w:spacing w:line="0" w:lineRule="atLeast"/>
        <w:jc w:val="both"/>
      </w:pPr>
    </w:p>
    <w:p w:rsidR="0010706C" w:rsidRPr="00D516FF" w:rsidRDefault="00775FA0">
      <w:pPr>
        <w:rPr>
          <w:b/>
        </w:rPr>
      </w:pPr>
      <w:r w:rsidRPr="00D516FF">
        <w:rPr>
          <w:b/>
        </w:rPr>
        <w:br w:type="page"/>
      </w:r>
    </w:p>
    <w:p w:rsidR="0010706C" w:rsidRPr="00D516FF" w:rsidRDefault="00775FA0">
      <w:pPr>
        <w:spacing w:line="0" w:lineRule="atLeast"/>
        <w:jc w:val="center"/>
        <w:rPr>
          <w:b/>
        </w:rPr>
      </w:pPr>
      <w:r w:rsidRPr="00D516FF">
        <w:rPr>
          <w:b/>
        </w:rPr>
        <w:t>APPENDIX A</w:t>
      </w:r>
    </w:p>
    <w:p w:rsidR="00275C13" w:rsidRPr="00D516FF" w:rsidRDefault="00275C13">
      <w:pPr>
        <w:spacing w:line="0" w:lineRule="atLeast"/>
        <w:jc w:val="center"/>
      </w:pPr>
    </w:p>
    <w:p w:rsidR="0010706C" w:rsidRPr="00D516FF" w:rsidRDefault="00775FA0">
      <w:pPr>
        <w:spacing w:line="0" w:lineRule="atLeast"/>
        <w:jc w:val="center"/>
      </w:pPr>
      <w:r w:rsidRPr="00D516FF">
        <w:t>Rule 62-297.310</w:t>
      </w:r>
    </w:p>
    <w:p w:rsidR="00275C13" w:rsidRPr="00D516FF" w:rsidRDefault="00275C13">
      <w:pPr>
        <w:spacing w:line="0" w:lineRule="atLeast"/>
        <w:jc w:val="center"/>
      </w:pPr>
      <w:r w:rsidRPr="00D516FF">
        <w:t>Florida Administrative Code</w:t>
      </w:r>
    </w:p>
    <w:p w:rsidR="00275C13" w:rsidRPr="00D516FF" w:rsidRDefault="00775FA0">
      <w:pPr>
        <w:spacing w:line="0" w:lineRule="atLeast"/>
        <w:jc w:val="center"/>
      </w:pPr>
      <w:r w:rsidRPr="00D516FF">
        <w:t>Effective March 2, 1999</w:t>
      </w:r>
    </w:p>
    <w:p w:rsidR="00775FA0" w:rsidRPr="00D516FF" w:rsidRDefault="00775FA0">
      <w:pPr>
        <w:spacing w:line="0" w:lineRule="atLeast"/>
        <w:jc w:val="center"/>
        <w:rPr>
          <w:b/>
        </w:rPr>
      </w:pPr>
    </w:p>
    <w:sectPr w:rsidR="00775FA0" w:rsidRPr="00D516FF" w:rsidSect="0010706C">
      <w:footnotePr>
        <w:numFmt w:val="lowerLetter"/>
      </w:footnotePr>
      <w:endnotePr>
        <w:numFmt w:val="lowerLetter"/>
      </w:endnotePr>
      <w:pgSz w:w="12240" w:h="15840"/>
      <w:pgMar w:top="1440" w:right="1800" w:bottom="1440" w:left="1800" w:header="1440" w:footer="14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60B" w:rsidRDefault="00C4560B">
      <w:r>
        <w:separator/>
      </w:r>
    </w:p>
  </w:endnote>
  <w:endnote w:type="continuationSeparator" w:id="0">
    <w:p w:rsidR="00C4560B" w:rsidRDefault="00C456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B1E" w:rsidRDefault="00931709">
    <w:pPr>
      <w:pStyle w:val="Footer"/>
      <w:jc w:val="center"/>
    </w:pPr>
    <w:r>
      <w:fldChar w:fldCharType="begin"/>
    </w:r>
    <w:r w:rsidR="009B6B1E">
      <w:instrText xml:space="preserve"> PAGE   \* MERGEFORMAT </w:instrText>
    </w:r>
    <w:r>
      <w:fldChar w:fldCharType="separate"/>
    </w:r>
    <w:r w:rsidR="00A560DA">
      <w:rPr>
        <w:noProof/>
      </w:rPr>
      <w:t>2</w:t>
    </w:r>
    <w:r>
      <w:rPr>
        <w:noProof/>
      </w:rPr>
      <w:fldChar w:fldCharType="end"/>
    </w:r>
  </w:p>
  <w:p w:rsidR="009B6B1E" w:rsidRDefault="009B6B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B1E" w:rsidRDefault="00931709">
    <w:pPr>
      <w:pStyle w:val="Footer"/>
      <w:jc w:val="center"/>
    </w:pPr>
    <w:r>
      <w:fldChar w:fldCharType="begin"/>
    </w:r>
    <w:r w:rsidR="009B6B1E">
      <w:instrText xml:space="preserve"> PAGE   \* MERGEFORMAT </w:instrText>
    </w:r>
    <w:r>
      <w:fldChar w:fldCharType="separate"/>
    </w:r>
    <w:r w:rsidR="00D950A3">
      <w:rPr>
        <w:noProof/>
      </w:rPr>
      <w:t>2</w:t>
    </w:r>
    <w:r>
      <w:rPr>
        <w:noProof/>
      </w:rPr>
      <w:fldChar w:fldCharType="end"/>
    </w:r>
  </w:p>
  <w:p w:rsidR="009B6B1E" w:rsidRDefault="009B6B1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B1E" w:rsidRDefault="009B6B1E"/>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B1E" w:rsidRDefault="00931709">
    <w:pPr>
      <w:pStyle w:val="Footer"/>
      <w:jc w:val="center"/>
    </w:pPr>
    <w:r>
      <w:fldChar w:fldCharType="begin"/>
    </w:r>
    <w:r w:rsidR="009B6B1E">
      <w:instrText xml:space="preserve"> PAGE   \* MERGEFORMAT </w:instrText>
    </w:r>
    <w:r>
      <w:fldChar w:fldCharType="separate"/>
    </w:r>
    <w:r w:rsidR="00D950A3">
      <w:rPr>
        <w:noProof/>
      </w:rPr>
      <w:t>11</w:t>
    </w:r>
    <w:r>
      <w:rPr>
        <w:noProof/>
      </w:rPr>
      <w:fldChar w:fldCharType="end"/>
    </w:r>
  </w:p>
  <w:p w:rsidR="009B6B1E" w:rsidRDefault="009B6B1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60B" w:rsidRDefault="00C4560B">
      <w:r>
        <w:separator/>
      </w:r>
    </w:p>
  </w:footnote>
  <w:footnote w:type="continuationSeparator" w:id="0">
    <w:p w:rsidR="00C4560B" w:rsidRDefault="00C4560B">
      <w:r>
        <w:continuationSeparator/>
      </w:r>
    </w:p>
  </w:footnote>
  <w:footnote w:id="1">
    <w:p w:rsidR="009B6B1E" w:rsidRDefault="009B6B1E">
      <w:pPr>
        <w:pStyle w:val="FootnoteText"/>
      </w:pPr>
      <w:r>
        <w:rPr>
          <w:rStyle w:val="FootnoteReference"/>
        </w:rPr>
        <w:footnoteRef/>
      </w:r>
      <w:r>
        <w:t xml:space="preserve"> Compliance with the PM limit indicates compliance with the PM</w:t>
      </w:r>
      <w:r>
        <w:rPr>
          <w:vertAlign w:val="subscript"/>
        </w:rPr>
        <w:t xml:space="preserve">10 </w:t>
      </w:r>
      <w:r>
        <w:t>limit for Furnace 3 see Permit Condition III.5. Furnace 4 does not contain an emission limitation for PM</w:t>
      </w:r>
      <w:r>
        <w:rPr>
          <w:vertAlign w:val="subscript"/>
        </w:rPr>
        <w:t>10</w:t>
      </w:r>
      <w:r>
        <w:t xml:space="preserve">.  </w:t>
      </w:r>
    </w:p>
  </w:footnote>
  <w:footnote w:id="2">
    <w:p w:rsidR="009B6B1E" w:rsidRDefault="009B6B1E">
      <w:pPr>
        <w:pStyle w:val="FootnoteText"/>
      </w:pPr>
      <w:r>
        <w:rPr>
          <w:rStyle w:val="FootnoteReference"/>
        </w:rPr>
        <w:footnoteRef/>
      </w:r>
      <w:r>
        <w:t xml:space="preserve"> See Part 3.2 relative to Furnace 4 SO</w:t>
      </w:r>
      <w:r>
        <w:rPr>
          <w:vertAlign w:val="subscript"/>
        </w:rPr>
        <w:t>2</w:t>
      </w:r>
      <w:r>
        <w:t xml:space="preserve"> testing.  After 2016, the Furnace 4 test will not include SO</w:t>
      </w:r>
      <w:r>
        <w:rPr>
          <w:vertAlign w:val="subscript"/>
        </w:rPr>
        <w:t>2</w:t>
      </w:r>
      <w:r>
        <w:t xml:space="preserve"> data.</w:t>
      </w:r>
    </w:p>
  </w:footnote>
  <w:footnote w:id="3">
    <w:p w:rsidR="009B6B1E" w:rsidRDefault="009B6B1E">
      <w:pPr>
        <w:pStyle w:val="FootnoteText"/>
      </w:pPr>
      <w:r>
        <w:rPr>
          <w:rStyle w:val="FootnoteReference"/>
        </w:rPr>
        <w:footnoteRef/>
      </w:r>
      <w:r>
        <w:t xml:space="preserve"> See Part 3.2 relative to Furnace 4 NO</w:t>
      </w:r>
      <w:r>
        <w:rPr>
          <w:vertAlign w:val="subscript"/>
        </w:rPr>
        <w:t>x</w:t>
      </w:r>
      <w:r>
        <w:t xml:space="preserve"> testing. After 2016, the Furnace 4 test will not include NO</w:t>
      </w:r>
      <w:r>
        <w:rPr>
          <w:vertAlign w:val="subscript"/>
        </w:rPr>
        <w:t>x</w:t>
      </w:r>
      <w:r>
        <w:t xml:space="preserve"> data.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B1E" w:rsidRDefault="009B6B1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B1E" w:rsidRDefault="009B6B1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1 "/>
      <w:lvlJc w:val="left"/>
    </w:lvl>
  </w:abstractNum>
  <w:abstractNum w:abstractNumId="1">
    <w:nsid w:val="00000002"/>
    <w:multiLevelType w:val="singleLevel"/>
    <w:tmpl w:val="04090001"/>
    <w:lvl w:ilvl="0">
      <w:start w:val="1"/>
      <w:numFmt w:val="bullet"/>
      <w:lvlText w:val=""/>
      <w:lvlJc w:val="left"/>
      <w:pPr>
        <w:ind w:left="360" w:hanging="360"/>
      </w:pPr>
      <w:rPr>
        <w:rFonts w:ascii="Symbol" w:hAnsi="Symbol" w:hint="default"/>
      </w:rPr>
    </w:lvl>
  </w:abstractNum>
  <w:abstractNum w:abstractNumId="2">
    <w:nsid w:val="082B7B96"/>
    <w:multiLevelType w:val="hybridMultilevel"/>
    <w:tmpl w:val="11B0F5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6C234D"/>
    <w:multiLevelType w:val="hybridMultilevel"/>
    <w:tmpl w:val="EF72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4D2E2D"/>
    <w:multiLevelType w:val="hybridMultilevel"/>
    <w:tmpl w:val="7180A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324B98"/>
    <w:multiLevelType w:val="hybridMultilevel"/>
    <w:tmpl w:val="7632B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F14831"/>
    <w:multiLevelType w:val="hybridMultilevel"/>
    <w:tmpl w:val="10388EC0"/>
    <w:lvl w:ilvl="0" w:tplc="C9042E70">
      <w:start w:val="1"/>
      <w:numFmt w:val="bullet"/>
      <w:pStyle w:val="Heading2"/>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54E408C"/>
    <w:multiLevelType w:val="hybridMultilevel"/>
    <w:tmpl w:val="AD82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2"/>
  </w:num>
  <w:num w:numId="6">
    <w:abstractNumId w:val="7"/>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embedSystemFonts/>
  <w:bordersDoNotSurroundHeader/>
  <w:bordersDoNotSurroundFooter/>
  <w:proofState w:grammar="clean"/>
  <w:stylePaneFormatFilter w:val="3F01"/>
  <w:doNotTrackMoves/>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3074"/>
  </w:hdrShapeDefaults>
  <w:footnotePr>
    <w:numFmt w:val="lowerLetter"/>
    <w:footnote w:id="-1"/>
    <w:footnote w:id="0"/>
  </w:footnotePr>
  <w:endnotePr>
    <w:numFmt w:val="lowerLette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0706C"/>
    <w:rsid w:val="000157C8"/>
    <w:rsid w:val="00041444"/>
    <w:rsid w:val="000452D0"/>
    <w:rsid w:val="00083920"/>
    <w:rsid w:val="000C5456"/>
    <w:rsid w:val="0010706C"/>
    <w:rsid w:val="0011535D"/>
    <w:rsid w:val="00155B9E"/>
    <w:rsid w:val="00182B92"/>
    <w:rsid w:val="00217522"/>
    <w:rsid w:val="00227358"/>
    <w:rsid w:val="002477D5"/>
    <w:rsid w:val="00275620"/>
    <w:rsid w:val="00275C13"/>
    <w:rsid w:val="002E08AA"/>
    <w:rsid w:val="002E4546"/>
    <w:rsid w:val="00340416"/>
    <w:rsid w:val="00387BA9"/>
    <w:rsid w:val="003C7682"/>
    <w:rsid w:val="003D3D66"/>
    <w:rsid w:val="004154C0"/>
    <w:rsid w:val="004A267B"/>
    <w:rsid w:val="004E2FFD"/>
    <w:rsid w:val="004F0EFF"/>
    <w:rsid w:val="00606562"/>
    <w:rsid w:val="00693C77"/>
    <w:rsid w:val="006C4075"/>
    <w:rsid w:val="00730542"/>
    <w:rsid w:val="00775FA0"/>
    <w:rsid w:val="007946EB"/>
    <w:rsid w:val="007E5A0A"/>
    <w:rsid w:val="008022CD"/>
    <w:rsid w:val="00842A54"/>
    <w:rsid w:val="00896597"/>
    <w:rsid w:val="009015D9"/>
    <w:rsid w:val="00925354"/>
    <w:rsid w:val="00931709"/>
    <w:rsid w:val="00940EC2"/>
    <w:rsid w:val="0095332E"/>
    <w:rsid w:val="0095659E"/>
    <w:rsid w:val="009B6B1E"/>
    <w:rsid w:val="009C2906"/>
    <w:rsid w:val="009C3892"/>
    <w:rsid w:val="00A338A2"/>
    <w:rsid w:val="00A560DA"/>
    <w:rsid w:val="00A63B1D"/>
    <w:rsid w:val="00A7653E"/>
    <w:rsid w:val="00A92509"/>
    <w:rsid w:val="00AF05E2"/>
    <w:rsid w:val="00B1374A"/>
    <w:rsid w:val="00B13CB1"/>
    <w:rsid w:val="00B631E5"/>
    <w:rsid w:val="00B8649D"/>
    <w:rsid w:val="00B919B8"/>
    <w:rsid w:val="00BA4A53"/>
    <w:rsid w:val="00BC70F1"/>
    <w:rsid w:val="00BE2A02"/>
    <w:rsid w:val="00C046FB"/>
    <w:rsid w:val="00C20C60"/>
    <w:rsid w:val="00C2201D"/>
    <w:rsid w:val="00C4560B"/>
    <w:rsid w:val="00C64AED"/>
    <w:rsid w:val="00CB74A0"/>
    <w:rsid w:val="00CD6D60"/>
    <w:rsid w:val="00D056AB"/>
    <w:rsid w:val="00D200C5"/>
    <w:rsid w:val="00D44C24"/>
    <w:rsid w:val="00D46DD5"/>
    <w:rsid w:val="00D516FF"/>
    <w:rsid w:val="00D950A3"/>
    <w:rsid w:val="00DC7DE8"/>
    <w:rsid w:val="00E113F8"/>
    <w:rsid w:val="00E70A16"/>
    <w:rsid w:val="00EA4DB5"/>
    <w:rsid w:val="00EE45EA"/>
    <w:rsid w:val="00F05691"/>
    <w:rsid w:val="00F238D4"/>
    <w:rsid w:val="00F24959"/>
    <w:rsid w:val="00F529B9"/>
    <w:rsid w:val="00F675EC"/>
    <w:rsid w:val="00F81C32"/>
    <w:rsid w:val="00F926B1"/>
    <w:rsid w:val="00FA0CA5"/>
    <w:rsid w:val="00FA376F"/>
    <w:rsid w:val="00FE6F06"/>
  </w:rsids>
  <m:mathPr>
    <m:mathFont m:val="Cambria Math"/>
    <m:brkBin m:val="before"/>
    <m:brkBinSub m:val="--"/>
    <m:smallFrac/>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06C"/>
    <w:rPr>
      <w:sz w:val="24"/>
    </w:rPr>
  </w:style>
  <w:style w:type="paragraph" w:styleId="Heading1">
    <w:name w:val="heading 1"/>
    <w:basedOn w:val="Normal"/>
    <w:next w:val="Normal"/>
    <w:autoRedefine/>
    <w:qFormat/>
    <w:rsid w:val="0010706C"/>
    <w:pPr>
      <w:keepNext/>
      <w:spacing w:line="480" w:lineRule="auto"/>
      <w:outlineLvl w:val="0"/>
    </w:pPr>
    <w:rPr>
      <w:rFonts w:ascii="Arial" w:hAnsi="Arial" w:cs="Arial"/>
      <w:b/>
      <w:bCs/>
      <w:caps/>
      <w:kern w:val="32"/>
      <w:szCs w:val="24"/>
    </w:rPr>
  </w:style>
  <w:style w:type="paragraph" w:styleId="Heading2">
    <w:name w:val="heading 2"/>
    <w:basedOn w:val="Normal"/>
    <w:next w:val="Normal"/>
    <w:autoRedefine/>
    <w:qFormat/>
    <w:rsid w:val="00275C13"/>
    <w:pPr>
      <w:numPr>
        <w:numId w:val="4"/>
      </w:numPr>
      <w:spacing w:line="480" w:lineRule="auto"/>
      <w:outlineLvl w:val="1"/>
    </w:pPr>
    <w:rPr>
      <w:rFonts w:ascii="Arial" w:hAnsi="Arial" w:cs="Arial"/>
      <w:bCs/>
      <w:iCs/>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10706C"/>
    <w:pPr>
      <w:shd w:val="clear" w:color="auto" w:fill="000080"/>
    </w:pPr>
    <w:rPr>
      <w:rFonts w:ascii="Tahoma" w:hAnsi="Tahoma" w:cs="Tahoma"/>
      <w:sz w:val="20"/>
    </w:rPr>
  </w:style>
  <w:style w:type="paragraph" w:customStyle="1" w:styleId="Level1">
    <w:name w:val="Level 1"/>
    <w:basedOn w:val="Normal"/>
    <w:rsid w:val="0010706C"/>
    <w:pPr>
      <w:widowControl w:val="0"/>
    </w:pPr>
  </w:style>
  <w:style w:type="character" w:customStyle="1" w:styleId="SYSHYPERTEXT">
    <w:name w:val="SYS_HYPERTEXT"/>
    <w:rsid w:val="0010706C"/>
    <w:rPr>
      <w:color w:val="0000FF"/>
      <w:u w:val="single"/>
    </w:rPr>
  </w:style>
  <w:style w:type="paragraph" w:styleId="Footer">
    <w:name w:val="footer"/>
    <w:basedOn w:val="Normal"/>
    <w:link w:val="FooterChar"/>
    <w:uiPriority w:val="99"/>
    <w:rsid w:val="0010706C"/>
    <w:pPr>
      <w:tabs>
        <w:tab w:val="center" w:pos="4320"/>
        <w:tab w:val="right" w:pos="8640"/>
      </w:tabs>
    </w:pPr>
    <w:rPr>
      <w:lang/>
    </w:rPr>
  </w:style>
  <w:style w:type="character" w:styleId="PageNumber">
    <w:name w:val="page number"/>
    <w:basedOn w:val="DefaultParagraphFont"/>
    <w:rsid w:val="0010706C"/>
  </w:style>
  <w:style w:type="paragraph" w:styleId="Header">
    <w:name w:val="header"/>
    <w:basedOn w:val="Normal"/>
    <w:rsid w:val="0010706C"/>
    <w:pPr>
      <w:tabs>
        <w:tab w:val="center" w:pos="4320"/>
        <w:tab w:val="right" w:pos="8640"/>
      </w:tabs>
    </w:pPr>
  </w:style>
  <w:style w:type="paragraph" w:styleId="TOC1">
    <w:name w:val="toc 1"/>
    <w:basedOn w:val="Normal"/>
    <w:next w:val="Normal"/>
    <w:autoRedefine/>
    <w:semiHidden/>
    <w:rsid w:val="0010706C"/>
  </w:style>
  <w:style w:type="paragraph" w:styleId="TOC2">
    <w:name w:val="toc 2"/>
    <w:basedOn w:val="Normal"/>
    <w:next w:val="Normal"/>
    <w:autoRedefine/>
    <w:semiHidden/>
    <w:rsid w:val="0010706C"/>
    <w:pPr>
      <w:tabs>
        <w:tab w:val="left" w:pos="1260"/>
        <w:tab w:val="right" w:leader="dot" w:pos="8630"/>
      </w:tabs>
      <w:spacing w:line="360" w:lineRule="auto"/>
      <w:ind w:left="240" w:firstLine="480"/>
    </w:pPr>
  </w:style>
  <w:style w:type="paragraph" w:styleId="BalloonText">
    <w:name w:val="Balloon Text"/>
    <w:basedOn w:val="Normal"/>
    <w:semiHidden/>
    <w:rsid w:val="0010706C"/>
    <w:rPr>
      <w:rFonts w:ascii="Tahoma" w:hAnsi="Tahoma" w:cs="Tahoma"/>
      <w:sz w:val="16"/>
      <w:szCs w:val="16"/>
    </w:rPr>
  </w:style>
  <w:style w:type="character" w:styleId="Hyperlink">
    <w:name w:val="Hyperlink"/>
    <w:rsid w:val="0010706C"/>
    <w:rPr>
      <w:color w:val="0000FF"/>
      <w:u w:val="single"/>
    </w:rPr>
  </w:style>
  <w:style w:type="character" w:styleId="CommentReference">
    <w:name w:val="annotation reference"/>
    <w:rsid w:val="0010706C"/>
    <w:rPr>
      <w:sz w:val="16"/>
      <w:szCs w:val="16"/>
    </w:rPr>
  </w:style>
  <w:style w:type="paragraph" w:styleId="CommentText">
    <w:name w:val="annotation text"/>
    <w:basedOn w:val="Normal"/>
    <w:link w:val="CommentTextChar"/>
    <w:rsid w:val="0010706C"/>
    <w:rPr>
      <w:sz w:val="20"/>
    </w:rPr>
  </w:style>
  <w:style w:type="character" w:customStyle="1" w:styleId="CommentTextChar">
    <w:name w:val="Comment Text Char"/>
    <w:basedOn w:val="DefaultParagraphFont"/>
    <w:link w:val="CommentText"/>
    <w:rsid w:val="0010706C"/>
  </w:style>
  <w:style w:type="paragraph" w:styleId="CommentSubject">
    <w:name w:val="annotation subject"/>
    <w:basedOn w:val="CommentText"/>
    <w:next w:val="CommentText"/>
    <w:link w:val="CommentSubjectChar"/>
    <w:rsid w:val="0010706C"/>
    <w:rPr>
      <w:b/>
      <w:bCs/>
      <w:lang/>
    </w:rPr>
  </w:style>
  <w:style w:type="character" w:customStyle="1" w:styleId="CommentSubjectChar">
    <w:name w:val="Comment Subject Char"/>
    <w:link w:val="CommentSubject"/>
    <w:rsid w:val="0010706C"/>
    <w:rPr>
      <w:b/>
      <w:bCs/>
    </w:rPr>
  </w:style>
  <w:style w:type="paragraph" w:styleId="ListParagraph">
    <w:name w:val="List Paragraph"/>
    <w:basedOn w:val="Normal"/>
    <w:uiPriority w:val="34"/>
    <w:qFormat/>
    <w:rsid w:val="0010706C"/>
    <w:pPr>
      <w:ind w:left="720"/>
      <w:contextualSpacing/>
    </w:pPr>
  </w:style>
  <w:style w:type="paragraph" w:styleId="FootnoteText">
    <w:name w:val="footnote text"/>
    <w:basedOn w:val="Normal"/>
    <w:link w:val="FootnoteTextChar"/>
    <w:rsid w:val="0010706C"/>
    <w:rPr>
      <w:sz w:val="20"/>
    </w:rPr>
  </w:style>
  <w:style w:type="character" w:customStyle="1" w:styleId="FootnoteTextChar">
    <w:name w:val="Footnote Text Char"/>
    <w:basedOn w:val="DefaultParagraphFont"/>
    <w:link w:val="FootnoteText"/>
    <w:rsid w:val="0010706C"/>
  </w:style>
  <w:style w:type="character" w:styleId="FootnoteReference">
    <w:name w:val="footnote reference"/>
    <w:rsid w:val="0010706C"/>
    <w:rPr>
      <w:vertAlign w:val="superscript"/>
    </w:rPr>
  </w:style>
  <w:style w:type="character" w:customStyle="1" w:styleId="FooterChar">
    <w:name w:val="Footer Char"/>
    <w:link w:val="Footer"/>
    <w:uiPriority w:val="99"/>
    <w:rsid w:val="0010706C"/>
    <w:rPr>
      <w:sz w:val="24"/>
    </w:rPr>
  </w:style>
</w:styles>
</file>

<file path=word/webSettings.xml><?xml version="1.0" encoding="utf-8"?>
<w:webSettings xmlns:r="http://schemas.openxmlformats.org/officeDocument/2006/relationships" xmlns:w="http://schemas.openxmlformats.org/wordprocessingml/2006/main">
  <w:divs>
    <w:div w:id="198857304">
      <w:bodyDiv w:val="1"/>
      <w:marLeft w:val="0"/>
      <w:marRight w:val="0"/>
      <w:marTop w:val="0"/>
      <w:marBottom w:val="0"/>
      <w:divBdr>
        <w:top w:val="none" w:sz="0" w:space="0" w:color="auto"/>
        <w:left w:val="none" w:sz="0" w:space="0" w:color="auto"/>
        <w:bottom w:val="none" w:sz="0" w:space="0" w:color="auto"/>
        <w:right w:val="none" w:sz="0" w:space="0" w:color="auto"/>
      </w:divBdr>
    </w:div>
    <w:div w:id="319311511">
      <w:bodyDiv w:val="1"/>
      <w:marLeft w:val="0"/>
      <w:marRight w:val="0"/>
      <w:marTop w:val="0"/>
      <w:marBottom w:val="0"/>
      <w:divBdr>
        <w:top w:val="none" w:sz="0" w:space="0" w:color="auto"/>
        <w:left w:val="none" w:sz="0" w:space="0" w:color="auto"/>
        <w:bottom w:val="none" w:sz="0" w:space="0" w:color="auto"/>
        <w:right w:val="none" w:sz="0" w:space="0" w:color="auto"/>
      </w:divBdr>
    </w:div>
    <w:div w:id="649287568">
      <w:bodyDiv w:val="1"/>
      <w:marLeft w:val="0"/>
      <w:marRight w:val="0"/>
      <w:marTop w:val="0"/>
      <w:marBottom w:val="0"/>
      <w:divBdr>
        <w:top w:val="none" w:sz="0" w:space="0" w:color="auto"/>
        <w:left w:val="none" w:sz="0" w:space="0" w:color="auto"/>
        <w:bottom w:val="none" w:sz="0" w:space="0" w:color="auto"/>
        <w:right w:val="none" w:sz="0" w:space="0" w:color="auto"/>
      </w:divBdr>
    </w:div>
    <w:div w:id="1540167698">
      <w:bodyDiv w:val="1"/>
      <w:marLeft w:val="0"/>
      <w:marRight w:val="0"/>
      <w:marTop w:val="0"/>
      <w:marBottom w:val="0"/>
      <w:divBdr>
        <w:top w:val="none" w:sz="0" w:space="0" w:color="auto"/>
        <w:left w:val="none" w:sz="0" w:space="0" w:color="auto"/>
        <w:bottom w:val="none" w:sz="0" w:space="0" w:color="auto"/>
        <w:right w:val="none" w:sz="0" w:space="0" w:color="auto"/>
      </w:divBdr>
    </w:div>
    <w:div w:id="1601185478">
      <w:bodyDiv w:val="1"/>
      <w:marLeft w:val="0"/>
      <w:marRight w:val="0"/>
      <w:marTop w:val="0"/>
      <w:marBottom w:val="0"/>
      <w:divBdr>
        <w:top w:val="none" w:sz="0" w:space="0" w:color="auto"/>
        <w:left w:val="none" w:sz="0" w:space="0" w:color="auto"/>
        <w:bottom w:val="none" w:sz="0" w:space="0" w:color="auto"/>
        <w:right w:val="none" w:sz="0" w:space="0" w:color="auto"/>
      </w:divBdr>
    </w:div>
    <w:div w:id="210187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1520</Words>
  <Characters>8039</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2013-11-22T20:15:00Z</dcterms:created>
  <dcterms:modified xsi:type="dcterms:W3CDTF">2013-11-22T20:22:00Z</dcterms:modified>
</cp:coreProperties>
</file>